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94" w:rsidRDefault="00A26469" w:rsidP="00A26469">
      <w:pPr>
        <w:pStyle w:val="Listecouleur-Accent11"/>
        <w:spacing w:line="276" w:lineRule="auto"/>
        <w:ind w:left="-993" w:right="-99"/>
        <w:rPr>
          <w:rFonts w:ascii="Times New Roman" w:hAnsi="Times New Roman"/>
          <w:b/>
          <w:color w:val="auto"/>
          <w:sz w:val="24"/>
          <w:szCs w:val="24"/>
          <w:lang w:val="fr-CA"/>
        </w:rPr>
      </w:pPr>
      <w:r>
        <w:rPr>
          <w:rFonts w:ascii="Times New Roman" w:hAnsi="Times New Roman"/>
          <w:b/>
          <w:color w:val="auto"/>
          <w:sz w:val="24"/>
          <w:szCs w:val="24"/>
          <w:lang w:val="fr-CA"/>
        </w:rPr>
        <w:t xml:space="preserve">                                                   </w:t>
      </w:r>
      <w:r w:rsidR="00A31C94" w:rsidRPr="00A31C94">
        <w:rPr>
          <w:rFonts w:ascii="Times New Roman" w:hAnsi="Times New Roman"/>
          <w:b/>
          <w:color w:val="auto"/>
          <w:sz w:val="24"/>
          <w:szCs w:val="24"/>
          <w:lang w:val="fr-CA"/>
        </w:rPr>
        <w:t>BILAN DES COMPÉTENCES</w:t>
      </w:r>
    </w:p>
    <w:p w:rsidR="00A26469" w:rsidRPr="00A31C94" w:rsidRDefault="00A26469" w:rsidP="00A31C94">
      <w:pPr>
        <w:pStyle w:val="Listecouleur-Accent11"/>
        <w:spacing w:line="276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fr-CA"/>
        </w:rPr>
      </w:pPr>
    </w:p>
    <w:p w:rsidR="00DE5807" w:rsidRPr="007A4986" w:rsidRDefault="00DE5807" w:rsidP="00DE5807">
      <w:pPr>
        <w:pStyle w:val="Listecouleur-Accent11"/>
        <w:spacing w:line="276" w:lineRule="auto"/>
        <w:ind w:left="-993"/>
        <w:rPr>
          <w:rFonts w:ascii="Times New Roman" w:hAnsi="Times New Roman"/>
          <w:color w:val="auto"/>
          <w:sz w:val="24"/>
          <w:szCs w:val="24"/>
          <w:lang w:val="fr-CA"/>
        </w:rPr>
      </w:pP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>Le tableau ci-dessous contient une liste d’habiletés qui montrent le niveau d’application des compétences associées à la réalité du 21</w:t>
      </w:r>
      <w:r w:rsidRPr="007A4986">
        <w:rPr>
          <w:rFonts w:ascii="Times New Roman" w:hAnsi="Times New Roman"/>
          <w:color w:val="auto"/>
          <w:sz w:val="24"/>
          <w:szCs w:val="24"/>
          <w:vertAlign w:val="superscript"/>
          <w:lang w:val="fr-CA"/>
        </w:rPr>
        <w:t>e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 xml:space="preserve"> siècle, c’est-à-dire celles </w:t>
      </w:r>
      <w:r>
        <w:rPr>
          <w:rFonts w:ascii="Times New Roman" w:hAnsi="Times New Roman"/>
          <w:color w:val="auto"/>
          <w:sz w:val="24"/>
          <w:szCs w:val="24"/>
          <w:lang w:val="fr-CA"/>
        </w:rPr>
        <w:t>d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>égagées à la suite de la recension des écrits et des entretiens virtuels. Ainsi, ce tableau vise à démontrer de quelle manière les compétences que l’on connaît se redéfinissent au 21</w:t>
      </w:r>
      <w:r w:rsidRPr="007A4986">
        <w:rPr>
          <w:rFonts w:ascii="Times New Roman" w:hAnsi="Times New Roman"/>
          <w:color w:val="auto"/>
          <w:sz w:val="24"/>
          <w:szCs w:val="24"/>
          <w:vertAlign w:val="superscript"/>
          <w:lang w:val="fr-CA"/>
        </w:rPr>
        <w:t>e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 xml:space="preserve"> siècle. Les intervenant</w:t>
      </w:r>
      <w:r>
        <w:rPr>
          <w:rFonts w:ascii="Times New Roman" w:hAnsi="Times New Roman"/>
          <w:color w:val="auto"/>
          <w:sz w:val="24"/>
          <w:szCs w:val="24"/>
          <w:lang w:val="fr-CA"/>
        </w:rPr>
        <w:t>e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>s</w:t>
      </w:r>
      <w:r>
        <w:rPr>
          <w:rFonts w:ascii="Times New Roman" w:hAnsi="Times New Roman"/>
          <w:color w:val="auto"/>
          <w:sz w:val="24"/>
          <w:szCs w:val="24"/>
          <w:lang w:val="fr-CA"/>
        </w:rPr>
        <w:t xml:space="preserve"> et intervenants des écoles pourraient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 xml:space="preserve"> se serv</w:t>
      </w:r>
      <w:r>
        <w:rPr>
          <w:rFonts w:ascii="Times New Roman" w:hAnsi="Times New Roman"/>
          <w:color w:val="auto"/>
          <w:sz w:val="24"/>
          <w:szCs w:val="24"/>
          <w:lang w:val="fr-CA"/>
        </w:rPr>
        <w:t>ir de cette liste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 xml:space="preserve"> pour </w:t>
      </w:r>
      <w:r>
        <w:rPr>
          <w:rFonts w:ascii="Times New Roman" w:hAnsi="Times New Roman"/>
          <w:color w:val="auto"/>
          <w:sz w:val="24"/>
          <w:szCs w:val="24"/>
          <w:lang w:val="fr-CA"/>
        </w:rPr>
        <w:t>dresser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 xml:space="preserve"> un portrait de leurs pratiques pédagogiques quotidiennes et </w:t>
      </w:r>
      <w:r>
        <w:rPr>
          <w:rFonts w:ascii="Times New Roman" w:hAnsi="Times New Roman"/>
          <w:color w:val="auto"/>
          <w:sz w:val="24"/>
          <w:szCs w:val="24"/>
          <w:lang w:val="fr-CA"/>
        </w:rPr>
        <w:t xml:space="preserve">pour 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>vérifier leur progression par rapport au changement de pratiques à l’ère numérique qui se révèle</w:t>
      </w:r>
      <w:r>
        <w:rPr>
          <w:rFonts w:ascii="Times New Roman" w:hAnsi="Times New Roman"/>
          <w:color w:val="auto"/>
          <w:sz w:val="24"/>
          <w:szCs w:val="24"/>
          <w:lang w:val="fr-CA"/>
        </w:rPr>
        <w:t>nt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 xml:space="preserve"> nécessaire</w:t>
      </w:r>
      <w:r>
        <w:rPr>
          <w:rFonts w:ascii="Times New Roman" w:hAnsi="Times New Roman"/>
          <w:color w:val="auto"/>
          <w:sz w:val="24"/>
          <w:szCs w:val="24"/>
          <w:lang w:val="fr-CA"/>
        </w:rPr>
        <w:t>s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 xml:space="preserve"> pour développer les nouvelles compétences chez leurs élèves. Le tableau </w:t>
      </w:r>
      <w:r>
        <w:rPr>
          <w:rFonts w:ascii="Times New Roman" w:hAnsi="Times New Roman"/>
          <w:color w:val="auto"/>
          <w:sz w:val="24"/>
          <w:szCs w:val="24"/>
          <w:lang w:val="fr-CA"/>
        </w:rPr>
        <w:t xml:space="preserve">ci-après 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>p</w:t>
      </w:r>
      <w:r>
        <w:rPr>
          <w:rFonts w:ascii="Times New Roman" w:hAnsi="Times New Roman"/>
          <w:color w:val="auto"/>
          <w:sz w:val="24"/>
          <w:szCs w:val="24"/>
          <w:lang w:val="fr-CA"/>
        </w:rPr>
        <w:t>ourrait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 xml:space="preserve"> également servir d’outil de réflexion </w:t>
      </w:r>
      <w:r>
        <w:rPr>
          <w:rFonts w:ascii="Times New Roman" w:hAnsi="Times New Roman"/>
          <w:color w:val="auto"/>
          <w:sz w:val="24"/>
          <w:szCs w:val="24"/>
          <w:lang w:val="fr-CA"/>
        </w:rPr>
        <w:t xml:space="preserve">portant 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 xml:space="preserve">sur les moyens possibles </w:t>
      </w:r>
      <w:r>
        <w:rPr>
          <w:rFonts w:ascii="Times New Roman" w:hAnsi="Times New Roman"/>
          <w:color w:val="auto"/>
          <w:sz w:val="24"/>
          <w:szCs w:val="24"/>
          <w:lang w:val="fr-CA"/>
        </w:rPr>
        <w:t>de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 xml:space="preserve"> transformer les pratiques pédagogiques </w:t>
      </w:r>
      <w:r>
        <w:rPr>
          <w:rFonts w:ascii="Times New Roman" w:hAnsi="Times New Roman"/>
          <w:color w:val="auto"/>
          <w:sz w:val="24"/>
          <w:szCs w:val="24"/>
          <w:lang w:val="fr-CA"/>
        </w:rPr>
        <w:t xml:space="preserve">afin de 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>les adapter au virage à l’ère numérique. Le tableau p</w:t>
      </w:r>
      <w:r>
        <w:rPr>
          <w:rFonts w:ascii="Times New Roman" w:hAnsi="Times New Roman"/>
          <w:color w:val="auto"/>
          <w:sz w:val="24"/>
          <w:szCs w:val="24"/>
          <w:lang w:val="fr-CA"/>
        </w:rPr>
        <w:t>ourrai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 xml:space="preserve">t aussi être utilisé </w:t>
      </w:r>
      <w:r>
        <w:rPr>
          <w:rFonts w:ascii="Times New Roman" w:hAnsi="Times New Roman"/>
          <w:color w:val="auto"/>
          <w:sz w:val="24"/>
          <w:szCs w:val="24"/>
          <w:lang w:val="fr-CA"/>
        </w:rPr>
        <w:t xml:space="preserve">comme un 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>sondage auprès des élèves pour connaître leur perception à l’égard de leur savoir-faire. Les intervenant</w:t>
      </w:r>
      <w:r>
        <w:rPr>
          <w:rFonts w:ascii="Times New Roman" w:hAnsi="Times New Roman"/>
          <w:color w:val="auto"/>
          <w:sz w:val="24"/>
          <w:szCs w:val="24"/>
          <w:lang w:val="fr-CA"/>
        </w:rPr>
        <w:t>e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>s</w:t>
      </w:r>
      <w:r>
        <w:rPr>
          <w:rFonts w:ascii="Times New Roman" w:hAnsi="Times New Roman"/>
          <w:color w:val="auto"/>
          <w:sz w:val="24"/>
          <w:szCs w:val="24"/>
          <w:lang w:val="fr-CA"/>
        </w:rPr>
        <w:t xml:space="preserve"> et intervenants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 xml:space="preserve"> peuvent remplir le tableau à l’ordinateur ou l’imprimer</w:t>
      </w:r>
      <w:r>
        <w:rPr>
          <w:rFonts w:ascii="Times New Roman" w:hAnsi="Times New Roman"/>
          <w:color w:val="auto"/>
          <w:sz w:val="24"/>
          <w:szCs w:val="24"/>
          <w:lang w:val="fr-CA"/>
        </w:rPr>
        <w:t>,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 xml:space="preserve"> ou encore, en créer un mieux adapté à la réalité des élèves de leur classe.</w:t>
      </w:r>
    </w:p>
    <w:p w:rsidR="00DE5807" w:rsidRPr="007A4986" w:rsidRDefault="00DE5807" w:rsidP="00DE5807">
      <w:pPr>
        <w:pStyle w:val="Listecouleur-Accent11"/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fr-CA"/>
        </w:rPr>
      </w:pPr>
    </w:p>
    <w:p w:rsidR="00DE5807" w:rsidRPr="007A4986" w:rsidRDefault="00DE5807" w:rsidP="00DE5807">
      <w:pPr>
        <w:pStyle w:val="Listecouleur-Accent11"/>
        <w:spacing w:line="276" w:lineRule="auto"/>
        <w:ind w:left="-993"/>
        <w:rPr>
          <w:rFonts w:ascii="Times New Roman" w:hAnsi="Times New Roman"/>
          <w:color w:val="auto"/>
          <w:sz w:val="24"/>
          <w:szCs w:val="24"/>
          <w:lang w:val="fr-CA"/>
        </w:rPr>
      </w:pP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>Pour remplir le tableau, il suffit de qua</w:t>
      </w:r>
      <w:r>
        <w:rPr>
          <w:rFonts w:ascii="Times New Roman" w:hAnsi="Times New Roman"/>
          <w:color w:val="auto"/>
          <w:sz w:val="24"/>
          <w:szCs w:val="24"/>
          <w:lang w:val="fr-CA"/>
        </w:rPr>
        <w:t>ntifier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 xml:space="preserve"> sur une échelle de 1 à 3 (1 = habileté non acquise; 2 = habileté à développer davantage; 3 = habileté maîtrisée) les pratiques des élèves afin de faire un bilan des compétences </w:t>
      </w:r>
      <w:r>
        <w:rPr>
          <w:rFonts w:ascii="Times New Roman" w:hAnsi="Times New Roman"/>
          <w:color w:val="auto"/>
          <w:sz w:val="24"/>
          <w:szCs w:val="24"/>
          <w:lang w:val="fr-CA"/>
        </w:rPr>
        <w:t>recensées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 xml:space="preserve">. </w:t>
      </w:r>
    </w:p>
    <w:p w:rsidR="002D41CE" w:rsidRPr="007A4986" w:rsidRDefault="002D41CE" w:rsidP="002D41CE">
      <w:pPr>
        <w:pStyle w:val="Listecouleur-Accent11"/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fr-CA"/>
        </w:rPr>
      </w:pPr>
    </w:p>
    <w:tbl>
      <w:tblPr>
        <w:tblW w:w="10774" w:type="dxa"/>
        <w:tblInd w:w="-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3"/>
        <w:gridCol w:w="567"/>
        <w:gridCol w:w="567"/>
        <w:gridCol w:w="567"/>
      </w:tblGrid>
      <w:tr w:rsidR="002D41CE" w:rsidRPr="007A4986" w:rsidTr="002D41CE">
        <w:tc>
          <w:tcPr>
            <w:tcW w:w="9073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BILAN DES COMPÉTENCES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1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2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3</w:t>
            </w:r>
          </w:p>
        </w:tc>
      </w:tr>
      <w:tr w:rsidR="002D41CE" w:rsidRPr="00A26469" w:rsidTr="002D41CE">
        <w:tc>
          <w:tcPr>
            <w:tcW w:w="10774" w:type="dxa"/>
            <w:gridSpan w:val="4"/>
            <w:shd w:val="clear" w:color="auto" w:fill="F2F2F2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PENSER DE FAÇON CRITIQUE – Les élèves…</w:t>
            </w: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pensent de façon critique pour concevoir des activités à partir d’une pluralité de sources.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résolvent des problèmes complexes et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significatifs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à l’aide d’une variété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d’équipement informatique,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d’outils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technologiques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et de ressources numériques.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s’engagent dans un processus d’enquête et de réflexion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de façon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critique.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analysent de façon critique des informations parfois contradictoires.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examinent des idées et des situations, puis les comparent pour mieux les comprendre.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CA"/>
              </w:rPr>
              <w:t>explorent des problématiques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complexes, authentiques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, significatifs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et multidimensionnels en utilisant différents outils technologiques et réseaux sociaux.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font une interprétation et une évaluation efficaces, efficientes et éthiques des données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mises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à leur disposition.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formulent des hypothèses et proposent des solutions réalistes.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développent la capacité d’acquérir de nouvelles connaissances et d’établir des liens.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prennent des décisions efficaces à partir d’une analyse et d’un jugement rigoureux.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se questionnent de façon critique afin d’influencer leur engagement en posant des gestes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dans le but d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e contribuer à un monde meilleur.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</w:tbl>
    <w:p w:rsidR="00DE5807" w:rsidRPr="00A26469" w:rsidRDefault="00DE5807">
      <w:pPr>
        <w:rPr>
          <w:lang w:val="fr-CA"/>
        </w:rPr>
      </w:pPr>
      <w:r w:rsidRPr="00A26469">
        <w:rPr>
          <w:lang w:val="fr-CA"/>
        </w:rPr>
        <w:br w:type="page"/>
      </w:r>
    </w:p>
    <w:tbl>
      <w:tblPr>
        <w:tblW w:w="10774" w:type="dxa"/>
        <w:tblInd w:w="-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3"/>
        <w:gridCol w:w="567"/>
        <w:gridCol w:w="567"/>
        <w:gridCol w:w="567"/>
      </w:tblGrid>
      <w:tr w:rsidR="002D41CE" w:rsidRPr="007A4986" w:rsidTr="002D41CE">
        <w:tc>
          <w:tcPr>
            <w:tcW w:w="10774" w:type="dxa"/>
            <w:gridSpan w:val="4"/>
            <w:shd w:val="clear" w:color="auto" w:fill="D9D9D9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lastRenderedPageBreak/>
              <w:t>COMMUNIQUER – Les élèves…</w:t>
            </w: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privilégient le français pour s’exprimer à l’oral et à l’écrit en salle de classe et en mode virtuel.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s’approprient un langage propre aux diverses interfaces technologiques.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créent et communiquent dans un français correct à l’aide des médias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sociaux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et espaces numériques.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utilisent de manière efficace et responsable le plus grand nombre d’outils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technologiques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dans une variété de contextes qui leurs permettent de s’exprimer, de communiquer, de se renseigner et d’échanger en ligne, y compris les blogues et les wikis ainsi que le contenu créé à l’aide d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u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Web 2.0 par les utilisat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rices et utilisateurs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utilisent les outils technologiques dans le but de faciliter leur apprentissage continu, que ce soit en mode présentiel en classe, en dehors de l’école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ou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en ligne.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posent des questions pertinentes et précises en vue d’obtenir les informations désirées.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intègrent dans leur apprentissage les ressources numériques à leur disposition pour montrer qu’ils comprennent la matière et développent leurs compétences.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font preuve de discernement dans leur évaluation des médias numériques et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communiquent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des décisions éclairées relativement à leurs actions et à leurs découvertes en ligne.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7A4986" w:rsidTr="002D41CE">
        <w:tc>
          <w:tcPr>
            <w:tcW w:w="10774" w:type="dxa"/>
            <w:gridSpan w:val="4"/>
            <w:shd w:val="clear" w:color="auto" w:fill="D9D9D9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COLLABORER – Les élèves…</w:t>
            </w: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collaborent dans des travaux d’équipes avec leurs pairs et amis à des projets d’intérêt commun en personne et dans un environnement infonuagique.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s’identifient et s’expriment en tant que partenaires d’apprentissage, par exemple, avec leurs pairs, leur enseignante ou enseignant, leurs parents et avec des membres de la communauté.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occupent différents rôles au sein des équipes en personne et à distance afin d’assurer une part équitable de la charge de travail.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interagissent de manière positive et respectueuse en personne et en mode virtuel.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dirigent des équipes en présentiel et de façon virtuelle.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gèrent des conflits au besoin pendant une activité d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e groupe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en classe ou à distance.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établissent de bonnes relations avec les autres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élèves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de la classe, de l’école, dans la collectivité et sur le Web.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échangent de l’information avec les autres et font connaître leu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rs expertises afin de résoudre d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es problèmes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complexes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, de prendre des décisions et de stimuler l’esprit critique.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s’impliquent dans le but de créer et de produire collectivement.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</w:tbl>
    <w:p w:rsidR="00DE5807" w:rsidRPr="00A26469" w:rsidRDefault="00DE5807">
      <w:pPr>
        <w:rPr>
          <w:lang w:val="fr-CA"/>
        </w:rPr>
      </w:pPr>
      <w:r w:rsidRPr="00A26469">
        <w:rPr>
          <w:lang w:val="fr-CA"/>
        </w:rPr>
        <w:br w:type="page"/>
      </w:r>
    </w:p>
    <w:tbl>
      <w:tblPr>
        <w:tblW w:w="10774" w:type="dxa"/>
        <w:tblInd w:w="-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3"/>
        <w:gridCol w:w="567"/>
        <w:gridCol w:w="567"/>
        <w:gridCol w:w="567"/>
      </w:tblGrid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expriment et échangent des opinions en classe, avec leurs pairs et avec d’autres personnes ailleurs dans le monde.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font connaître leurs besoins, leurs intérêts et leurs aspirations à l’aide de différents supports technologiques.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développent avec les autres une intelligence collective dans le cadre d’une activité en personne ou en mode virtuel.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10774" w:type="dxa"/>
            <w:gridSpan w:val="4"/>
            <w:shd w:val="clear" w:color="auto" w:fill="D9D9D9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DÉCOUVRIR, CRÉER ET INNOVER – Les élèves…</w:t>
            </w: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appliquent leurs nouvelles connaissances et prennent des risques dans le but de créer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et de développer des habiletés d’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CA"/>
              </w:rPr>
              <w:t>entrepreneurship</w:t>
            </w:r>
            <w:proofErr w:type="spellEnd"/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font preuve d’innovation pour concevoir et appliquer les nouvelles connaissances en vue de solutionner une problématique complexe.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créent et élaborent des idées novatrices, de nouveaux concepts et des contenus différents.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maîtrisent une variété d’outils et des réseaux sociaux en vue de mieux réfléchir, de communiquer avec des destinataires en mode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présentiel et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virtuel,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puis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de produire de façon efficace et efficiente.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communiquent de façon créative et novatrice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à partir d’une variété d’outils de communication numérique de façon innovante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(p. ex. : </w:t>
            </w:r>
            <w:proofErr w:type="spellStart"/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slam</w:t>
            </w:r>
            <w:proofErr w:type="spellEnd"/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, </w:t>
            </w:r>
            <w:proofErr w:type="spellStart"/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ignite</w:t>
            </w:r>
            <w:proofErr w:type="spellEnd"/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, </w:t>
            </w:r>
            <w:proofErr w:type="spellStart"/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ted</w:t>
            </w:r>
            <w:proofErr w:type="spellEnd"/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, etc.).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8C6BB2" w:rsidRDefault="002D41CE" w:rsidP="008C6BB2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créent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et collaborent à l’aide des médias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numériques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et en utilisant, par exemple, l’image, le son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,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la vidéo, etc.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se servent judicieusement des outils technologiques et des réseaux sociaux en s’ajustant et s’autorégulant selon le contexte afin de contribuer au développement social et à la croissance économique.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manifestent un leadership en action et assurent la compétitivité.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10774" w:type="dxa"/>
            <w:gridSpan w:val="4"/>
            <w:shd w:val="clear" w:color="auto" w:fill="D9D9D9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FAIRE PREUVE DE CIVISME – Les élèves…</w:t>
            </w: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s’engagent activement dans le respect des normes liées à la citoyenneté numérique.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adoptent un comportement </w:t>
            </w:r>
            <w:r w:rsidRPr="007A4986">
              <w:rPr>
                <w:rFonts w:ascii="Times New Roman" w:hAnsi="Times New Roman"/>
                <w:color w:val="auto"/>
                <w:sz w:val="24"/>
                <w:szCs w:val="24"/>
                <w:lang w:val="fr-CA"/>
              </w:rPr>
              <w:t xml:space="preserve">éthique propre à assurer la protection des renseignements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r-CA"/>
              </w:rPr>
              <w:t xml:space="preserve">numériques </w:t>
            </w:r>
            <w:r w:rsidRPr="007A4986">
              <w:rPr>
                <w:rFonts w:ascii="Times New Roman" w:hAnsi="Times New Roman"/>
                <w:color w:val="auto"/>
                <w:sz w:val="24"/>
                <w:szCs w:val="24"/>
                <w:lang w:val="fr-CA"/>
              </w:rPr>
              <w:t xml:space="preserve">confidentiels, sa propre sécurité et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r-CA"/>
              </w:rPr>
              <w:t>celle</w:t>
            </w:r>
            <w:r w:rsidRPr="007A4986">
              <w:rPr>
                <w:rFonts w:ascii="Times New Roman" w:hAnsi="Times New Roman"/>
                <w:color w:val="auto"/>
                <w:sz w:val="24"/>
                <w:szCs w:val="24"/>
                <w:lang w:val="fr-CA"/>
              </w:rPr>
              <w:t xml:space="preserve"> des autres.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assument leurs responsabilités et prennent conscience de leur empreinte numérique.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acquièrent des connaissances techniques afin d’utiliser aisément les outils technologies et de participer aux divers réseaux retrouvés sur le Web.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comprennent de quelle manière la technologie agit sur le comportement et les perceptions des gens, les croyances et les sentiments ressentis par eux et les autres.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utilisent de manière efficace et responsable, dans des dialogues ouverts, le contenu généré par les utilisat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rices et les utilisateurs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et le Web y compris les blogues et les forums de discussion, le partage de photos et vidéos, les jeux et médias sociaux, etc.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</w:tbl>
    <w:p w:rsidR="00DE5807" w:rsidRPr="00A26469" w:rsidRDefault="00DE5807">
      <w:pPr>
        <w:rPr>
          <w:lang w:val="fr-CA"/>
        </w:rPr>
      </w:pPr>
      <w:r w:rsidRPr="00A26469">
        <w:rPr>
          <w:lang w:val="fr-CA"/>
        </w:rPr>
        <w:br w:type="page"/>
      </w:r>
    </w:p>
    <w:tbl>
      <w:tblPr>
        <w:tblW w:w="10774" w:type="dxa"/>
        <w:tblInd w:w="-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3"/>
        <w:gridCol w:w="567"/>
        <w:gridCol w:w="567"/>
        <w:gridCol w:w="567"/>
      </w:tblGrid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respectent les engagements pris en personne et à distance avec leurs partenaires d’apprentissage.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ont une bonne compréhension de la diversité culturelle et sociétale dans un contexte local, national et mondial.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sont capables de comprendre les enjeux mondiaux.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se montrent sensibles envers les autres cultures et les respectent.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participent activement à résoudre des problèmes pour assurer la durabilité de l’humain et de son milieu naturel.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interagissent en fra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nçais et contribuent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à la culture franco-ontarienne sur le Web.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comprennent les systèmes politiques, sociaux, économiques et financiers du Canada dans un contexte mondial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et agissent selon leurs valeurs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10774" w:type="dxa"/>
            <w:gridSpan w:val="4"/>
            <w:shd w:val="clear" w:color="auto" w:fill="D9D9D9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DÉVELOPPER SON CARACTÈRE : PLAISIR D’APPRENDRE</w:t>
            </w:r>
          </w:p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ET DÉVELOPPEMENT DE L’INTELLIGENCE ÉMOTIONNELLE – Les élèves…</w:t>
            </w: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se sentent respectés et en confiance et sentent que leurs opinions sont valorisées.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accomplissent des activités authentiques à partir d’enjeux complexes.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choisissent leurs activités à réaliser et leurs outils technologiques à utiliser.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participent à l’organisation de la salle de classe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pour développer un sens d’appartenance.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font preuve de sensibilité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,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de respect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et d’empathie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à l’égard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de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 autres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pour développer leur intelligence sociale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développent leur intelligence émotionnelle en étant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capable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de nommer, reconnaître et contrôler leurs émotions ressenties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afin de poursuivre leurs activités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connaissent leurs limites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et gèrent leurs émotions afin d’encourager l’appropriation de leurs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apprentissages et ce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ux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des autres.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suivent leurs intérêts et leurs passions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en utilisant une variété riche d’outils technologiques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réalisent leurs activités à partir d’une motivation intrinsèque.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manifestent une curiosité à découvrir de nouvelles informations par eux-mêmes.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ressentent un sens d’accomplissement lorsqu’ils terminent une activité.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7A4986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parlent de leurs découvertes.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sont enthousiastes par rapport à leur apprentissage à l’école; les notes ne sont pas leur première ni leur seule motivation.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</w:tbl>
    <w:p w:rsidR="00DB0635" w:rsidRPr="008A08A0" w:rsidRDefault="00DB0635">
      <w:pPr>
        <w:rPr>
          <w:lang w:val="fr-CA"/>
        </w:rPr>
      </w:pPr>
      <w:r w:rsidRPr="008A08A0">
        <w:rPr>
          <w:lang w:val="fr-CA"/>
        </w:rPr>
        <w:br w:type="page"/>
      </w:r>
    </w:p>
    <w:tbl>
      <w:tblPr>
        <w:tblW w:w="10774" w:type="dxa"/>
        <w:tblInd w:w="-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6"/>
        <w:gridCol w:w="709"/>
        <w:gridCol w:w="709"/>
        <w:gridCol w:w="850"/>
      </w:tblGrid>
      <w:tr w:rsidR="002D41CE" w:rsidRPr="00A26469" w:rsidTr="002D41CE">
        <w:tc>
          <w:tcPr>
            <w:tcW w:w="10774" w:type="dxa"/>
            <w:gridSpan w:val="4"/>
            <w:shd w:val="clear" w:color="auto" w:fill="D9D9D9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DÉVELOPPER SON CARACTÈRE : AUTONOMIE – Les élèves…</w:t>
            </w:r>
          </w:p>
        </w:tc>
      </w:tr>
      <w:tr w:rsidR="002D41CE" w:rsidRPr="00A26469" w:rsidTr="002D41CE">
        <w:tc>
          <w:tcPr>
            <w:tcW w:w="8506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contribuent activement à la conception des activités d’apprentissage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et à la prise de décisions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concernant les méthodes et les résultats d’apprentissage.</w:t>
            </w: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8506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utilisent des outils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informatisés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de gestion du temps afin d’harmoniser leurs activités d’apprentissage à celles des autres.</w:t>
            </w: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8506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apprennent à apprendre, c’est-à-dire qu’ils connaissent le processus, la démarche à suivre ou les étapes à prendre pour s’approprier un savoir.</w:t>
            </w: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8506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appliquent des stratégies efficaces d’organisation afin de mener à terme les engagements entrepris et d’assurer les suivis nécessaires en utilisant les outils technologiques les plus appropriés.</w:t>
            </w: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8506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participent activement à l’attestation de leurs acquis et s’appuient sur celle-ci pour orienter et approfondir leur travail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,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et améliorer leur rendement.</w:t>
            </w: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8506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prennent leur santé physique et mentale en main en vue d’être des citoyen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ne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et citoyens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productifs et présents.</w:t>
            </w: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8506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déterminent, de façon autonome, les priorités afin d’atteindre les objectifs visés en utilisant des outils technologiques.</w:t>
            </w: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8506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gèrent leur vie et s’organisent de façon autonome en se fixant des objectifs à court terme au besoin pour faciliter l’apprentissage.</w:t>
            </w: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8506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démontrent une appropriation du savoir de façon autonome en utilisant une variété d’outils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technologiques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et en naviguant sur le Web de façon responsable (p. ex.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 :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suivre un cours en ligne, participer à un webinaire et suivre une conférence virtuelle, etc.).</w:t>
            </w: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8506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dirigent leurs acquisitions des connaissances à partir d’objectifs d’apprentissage et de suivis des progrès réalisés.</w:t>
            </w: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8506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utilisent le processus d’enquête pour trouver une réponse dans divers contextes à partir d’une variété de sources d’information.</w:t>
            </w: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8506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découvrent par eux-mêmes tout en s’adaptant au changement et ou ayant une ouverture d’esprit.</w:t>
            </w: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8506" w:type="dxa"/>
          </w:tcPr>
          <w:p w:rsidR="002D41CE" w:rsidRPr="008C6BB2" w:rsidRDefault="002D41CE" w:rsidP="008C6BB2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avancent à leur propre rythme et demandent de l’aide au besoin.</w:t>
            </w: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A26469" w:rsidTr="002D41CE">
        <w:tc>
          <w:tcPr>
            <w:tcW w:w="8506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s’autorégulent pendant et après la réalisation des activités à l’aide d’outils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et de logiciels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technologiques afin d’améliorer leur savoir-faire et de s’ajuster pour la prochaine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activité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.</w:t>
            </w: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7A4986" w:rsidTr="002D41CE">
        <w:tc>
          <w:tcPr>
            <w:tcW w:w="8506" w:type="dxa"/>
          </w:tcPr>
          <w:p w:rsidR="002D41CE" w:rsidRDefault="002D41CE" w:rsidP="00BD36E1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  <w:p w:rsidR="002D41CE" w:rsidRDefault="002D41CE" w:rsidP="00BD36E1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Total</w:t>
            </w:r>
          </w:p>
          <w:p w:rsidR="002D41CE" w:rsidRPr="007A4986" w:rsidRDefault="002D41CE" w:rsidP="00BD36E1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2D41CE" w:rsidRDefault="002D41CE" w:rsidP="00BD36E1">
            <w:pPr>
              <w:tabs>
                <w:tab w:val="right" w:pos="493"/>
              </w:tabs>
              <w:spacing w:line="276" w:lineRule="auto"/>
              <w:rPr>
                <w:rFonts w:ascii="Times New Roman" w:hAnsi="Times New Roman"/>
                <w:b/>
                <w:lang w:val="fr-CA"/>
              </w:rPr>
            </w:pPr>
          </w:p>
          <w:p w:rsidR="002D41CE" w:rsidRPr="009C5EFB" w:rsidRDefault="002D41CE" w:rsidP="00531E0F">
            <w:pPr>
              <w:tabs>
                <w:tab w:val="right" w:pos="493"/>
              </w:tabs>
              <w:spacing w:line="276" w:lineRule="auto"/>
              <w:rPr>
                <w:rFonts w:ascii="Times New Roman" w:hAnsi="Times New Roman"/>
                <w:b/>
                <w:lang w:val="fr-CA"/>
              </w:rPr>
            </w:pPr>
            <w:r w:rsidRPr="009C5EFB">
              <w:rPr>
                <w:rFonts w:ascii="Times New Roman" w:hAnsi="Times New Roman"/>
                <w:b/>
                <w:lang w:val="fr-CA"/>
              </w:rPr>
              <w:tab/>
              <w:t>/7</w:t>
            </w:r>
            <w:r w:rsidR="00531E0F">
              <w:rPr>
                <w:rFonts w:ascii="Times New Roman" w:hAnsi="Times New Roman"/>
                <w:b/>
                <w:lang w:val="fr-CA"/>
              </w:rPr>
              <w:t>9</w:t>
            </w:r>
          </w:p>
        </w:tc>
        <w:tc>
          <w:tcPr>
            <w:tcW w:w="709" w:type="dxa"/>
          </w:tcPr>
          <w:p w:rsidR="002D41CE" w:rsidRDefault="002D41CE" w:rsidP="00BD36E1">
            <w:pPr>
              <w:spacing w:line="276" w:lineRule="auto"/>
              <w:jc w:val="right"/>
              <w:rPr>
                <w:rFonts w:ascii="Times New Roman" w:hAnsi="Times New Roman"/>
                <w:b/>
                <w:lang w:val="fr-CA"/>
              </w:rPr>
            </w:pPr>
          </w:p>
          <w:p w:rsidR="002D41CE" w:rsidRPr="009C5EFB" w:rsidRDefault="002D41CE" w:rsidP="00531E0F">
            <w:pPr>
              <w:spacing w:line="276" w:lineRule="auto"/>
              <w:jc w:val="right"/>
              <w:rPr>
                <w:rFonts w:ascii="Times New Roman" w:hAnsi="Times New Roman"/>
                <w:b/>
                <w:lang w:val="fr-CA"/>
              </w:rPr>
            </w:pPr>
            <w:r w:rsidRPr="009C5EFB">
              <w:rPr>
                <w:rFonts w:ascii="Times New Roman" w:hAnsi="Times New Roman"/>
                <w:b/>
                <w:lang w:val="fr-CA"/>
              </w:rPr>
              <w:t>/1</w:t>
            </w:r>
            <w:r>
              <w:rPr>
                <w:rFonts w:ascii="Times New Roman" w:hAnsi="Times New Roman"/>
                <w:b/>
                <w:lang w:val="fr-CA"/>
              </w:rPr>
              <w:t>5</w:t>
            </w:r>
            <w:r w:rsidR="00531E0F">
              <w:rPr>
                <w:rFonts w:ascii="Times New Roman" w:hAnsi="Times New Roman"/>
                <w:b/>
                <w:lang w:val="fr-CA"/>
              </w:rPr>
              <w:t>8</w:t>
            </w:r>
          </w:p>
        </w:tc>
        <w:tc>
          <w:tcPr>
            <w:tcW w:w="850" w:type="dxa"/>
          </w:tcPr>
          <w:p w:rsidR="002D41CE" w:rsidRDefault="002D41CE" w:rsidP="00BD36E1">
            <w:pPr>
              <w:spacing w:line="276" w:lineRule="auto"/>
              <w:jc w:val="right"/>
              <w:rPr>
                <w:rFonts w:ascii="Times New Roman" w:hAnsi="Times New Roman"/>
                <w:b/>
                <w:lang w:val="fr-CA"/>
              </w:rPr>
            </w:pPr>
          </w:p>
          <w:p w:rsidR="002D41CE" w:rsidRPr="009C5EFB" w:rsidRDefault="002D41CE" w:rsidP="00BD36E1">
            <w:pPr>
              <w:spacing w:line="276" w:lineRule="auto"/>
              <w:jc w:val="right"/>
              <w:rPr>
                <w:rFonts w:ascii="Times New Roman" w:hAnsi="Times New Roman"/>
                <w:b/>
                <w:lang w:val="fr-CA"/>
              </w:rPr>
            </w:pPr>
            <w:r w:rsidRPr="009C5EFB">
              <w:rPr>
                <w:rFonts w:ascii="Times New Roman" w:hAnsi="Times New Roman"/>
                <w:b/>
                <w:lang w:val="fr-CA"/>
              </w:rPr>
              <w:t>/2</w:t>
            </w:r>
            <w:r>
              <w:rPr>
                <w:rFonts w:ascii="Times New Roman" w:hAnsi="Times New Roman"/>
                <w:b/>
                <w:lang w:val="fr-CA"/>
              </w:rPr>
              <w:t>37</w:t>
            </w:r>
          </w:p>
        </w:tc>
      </w:tr>
      <w:tr w:rsidR="002D41CE" w:rsidRPr="007A4986" w:rsidTr="002D41CE">
        <w:tc>
          <w:tcPr>
            <w:tcW w:w="8506" w:type="dxa"/>
          </w:tcPr>
          <w:p w:rsidR="002D41CE" w:rsidRPr="007A4986" w:rsidRDefault="002D41CE" w:rsidP="00BD36E1">
            <w:pPr>
              <w:spacing w:line="276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fr-CA"/>
              </w:rPr>
            </w:pPr>
          </w:p>
          <w:p w:rsidR="002D41CE" w:rsidRDefault="002D41CE" w:rsidP="00BD36E1">
            <w:pPr>
              <w:spacing w:line="276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color w:val="auto"/>
                <w:sz w:val="24"/>
                <w:szCs w:val="24"/>
                <w:lang w:val="fr-CA"/>
              </w:rPr>
              <w:t>Pointage total obtenu</w:t>
            </w:r>
          </w:p>
          <w:p w:rsidR="002D41CE" w:rsidRPr="007A4986" w:rsidRDefault="002D41CE" w:rsidP="00BD36E1">
            <w:pPr>
              <w:spacing w:line="276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color w:val="auto"/>
                <w:sz w:val="24"/>
                <w:szCs w:val="24"/>
                <w:lang w:val="fr-CA"/>
              </w:rPr>
              <w:t>portant sur le niveau d’application des compétences au 21</w:t>
            </w:r>
            <w:r w:rsidRPr="007A4986">
              <w:rPr>
                <w:rFonts w:ascii="Times New Roman" w:hAnsi="Times New Roman"/>
                <w:b/>
                <w:color w:val="auto"/>
                <w:sz w:val="24"/>
                <w:szCs w:val="24"/>
                <w:vertAlign w:val="superscript"/>
                <w:lang w:val="fr-CA"/>
              </w:rPr>
              <w:t>e</w:t>
            </w:r>
            <w:r w:rsidRPr="007A4986">
              <w:rPr>
                <w:rFonts w:ascii="Times New Roman" w:hAnsi="Times New Roman"/>
                <w:b/>
                <w:color w:val="auto"/>
                <w:sz w:val="24"/>
                <w:szCs w:val="24"/>
                <w:lang w:val="fr-CA"/>
              </w:rPr>
              <w:t xml:space="preserve"> siècle</w:t>
            </w:r>
          </w:p>
          <w:p w:rsidR="002D41CE" w:rsidRPr="007A4986" w:rsidRDefault="002D41CE" w:rsidP="00712400">
            <w:pPr>
              <w:spacing w:line="276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color w:val="auto"/>
                <w:sz w:val="24"/>
                <w:szCs w:val="24"/>
                <w:lang w:val="fr-CA"/>
              </w:rPr>
              <w:t>selon la recension des écrits et des entretiens virtuels réalisés</w:t>
            </w:r>
            <w:bookmarkStart w:id="0" w:name="_GoBack"/>
            <w:bookmarkEnd w:id="0"/>
          </w:p>
        </w:tc>
        <w:tc>
          <w:tcPr>
            <w:tcW w:w="2268" w:type="dxa"/>
            <w:gridSpan w:val="3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 xml:space="preserve">       /2</w:t>
            </w:r>
            <w:r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37</w:t>
            </w:r>
          </w:p>
        </w:tc>
      </w:tr>
    </w:tbl>
    <w:p w:rsidR="009B04C7" w:rsidRPr="002D41CE" w:rsidRDefault="00CE6D52" w:rsidP="00712400">
      <w:pPr>
        <w:rPr>
          <w:lang w:val="fr-CA"/>
        </w:rPr>
      </w:pPr>
    </w:p>
    <w:sectPr w:rsidR="009B04C7" w:rsidRPr="002D41CE" w:rsidSect="00A26469">
      <w:pgSz w:w="12240" w:h="15840"/>
      <w:pgMar w:top="1440" w:right="758" w:bottom="1440" w:left="1701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52" w:rsidRDefault="00CE6D52" w:rsidP="002D41CE">
      <w:r>
        <w:separator/>
      </w:r>
    </w:p>
  </w:endnote>
  <w:endnote w:type="continuationSeparator" w:id="0">
    <w:p w:rsidR="00CE6D52" w:rsidRDefault="00CE6D52" w:rsidP="002D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52" w:rsidRDefault="00CE6D52" w:rsidP="002D41CE">
      <w:r>
        <w:separator/>
      </w:r>
    </w:p>
  </w:footnote>
  <w:footnote w:type="continuationSeparator" w:id="0">
    <w:p w:rsidR="00CE6D52" w:rsidRDefault="00CE6D52" w:rsidP="002D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3996"/>
    <w:multiLevelType w:val="hybridMultilevel"/>
    <w:tmpl w:val="2BF487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CE"/>
    <w:rsid w:val="000B23B2"/>
    <w:rsid w:val="00123B2D"/>
    <w:rsid w:val="00252C45"/>
    <w:rsid w:val="002C1FAB"/>
    <w:rsid w:val="002D41CE"/>
    <w:rsid w:val="00514E65"/>
    <w:rsid w:val="00531E0F"/>
    <w:rsid w:val="00712400"/>
    <w:rsid w:val="008A08A0"/>
    <w:rsid w:val="008C6BB2"/>
    <w:rsid w:val="00A26469"/>
    <w:rsid w:val="00A31C94"/>
    <w:rsid w:val="00CC43A0"/>
    <w:rsid w:val="00CE6D52"/>
    <w:rsid w:val="00DA16B1"/>
    <w:rsid w:val="00DB0635"/>
    <w:rsid w:val="00DE5807"/>
    <w:rsid w:val="00FB45DA"/>
    <w:rsid w:val="00FC4141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CE"/>
    <w:pPr>
      <w:spacing w:after="0" w:line="240" w:lineRule="auto"/>
    </w:pPr>
    <w:rPr>
      <w:rFonts w:ascii="Gill Sans MT" w:eastAsia="Gill Sans MT" w:hAnsi="Gill Sans MT" w:cs="Times New Roman"/>
      <w:color w:val="000000"/>
      <w:sz w:val="20"/>
      <w:szCs w:val="20"/>
      <w:lang w:val="en-US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2D41CE"/>
    <w:pPr>
      <w:outlineLvl w:val="0"/>
    </w:pPr>
    <w:rPr>
      <w:rFonts w:ascii="Bookman Old Style" w:hAnsi="Bookman Old Style"/>
      <w:color w:val="984806"/>
      <w:sz w:val="40"/>
      <w:szCs w:val="4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41CE"/>
    <w:rPr>
      <w:rFonts w:ascii="Bookman Old Style" w:eastAsia="Gill Sans MT" w:hAnsi="Bookman Old Style" w:cs="Times New Roman"/>
      <w:color w:val="984806"/>
      <w:sz w:val="40"/>
      <w:szCs w:val="40"/>
      <w:lang w:eastAsia="ja-JP"/>
    </w:rPr>
  </w:style>
  <w:style w:type="paragraph" w:customStyle="1" w:styleId="Listecouleur-Accent11">
    <w:name w:val="Liste couleur - Accent 11"/>
    <w:basedOn w:val="Normal"/>
    <w:link w:val="Listecouleur-Accent11Char"/>
    <w:uiPriority w:val="34"/>
    <w:qFormat/>
    <w:rsid w:val="002D41CE"/>
    <w:pPr>
      <w:ind w:left="720"/>
      <w:contextualSpacing/>
    </w:pPr>
  </w:style>
  <w:style w:type="character" w:styleId="Lienhypertexte">
    <w:name w:val="Hyperlink"/>
    <w:uiPriority w:val="99"/>
    <w:unhideWhenUsed/>
    <w:rsid w:val="002D41CE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D41CE"/>
    <w:rPr>
      <w:sz w:val="24"/>
      <w:szCs w:val="24"/>
      <w:lang w:val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D41CE"/>
    <w:rPr>
      <w:rFonts w:ascii="Gill Sans MT" w:eastAsia="Gill Sans MT" w:hAnsi="Gill Sans MT" w:cs="Times New Roman"/>
      <w:color w:val="000000"/>
      <w:sz w:val="24"/>
      <w:szCs w:val="24"/>
      <w:lang w:val="x-none" w:eastAsia="ja-JP"/>
    </w:rPr>
  </w:style>
  <w:style w:type="character" w:styleId="Appelnotedebasdep">
    <w:name w:val="footnote reference"/>
    <w:uiPriority w:val="99"/>
    <w:semiHidden/>
    <w:unhideWhenUsed/>
    <w:rsid w:val="002D41CE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unhideWhenUsed/>
    <w:rsid w:val="002D41CE"/>
    <w:rPr>
      <w:rFonts w:ascii="Cambria" w:eastAsia="Times New Roman" w:hAnsi="Cambria"/>
      <w:color w:val="auto"/>
      <w:sz w:val="24"/>
      <w:szCs w:val="24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rsid w:val="002D41C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Marquedecommentaire">
    <w:name w:val="annotation reference"/>
    <w:uiPriority w:val="99"/>
    <w:unhideWhenUsed/>
    <w:rsid w:val="002D41CE"/>
    <w:rPr>
      <w:sz w:val="18"/>
      <w:szCs w:val="18"/>
    </w:rPr>
  </w:style>
  <w:style w:type="character" w:customStyle="1" w:styleId="Listecouleur-Accent11Char">
    <w:name w:val="Liste couleur - Accent 11 Char"/>
    <w:link w:val="Listecouleur-Accent11"/>
    <w:uiPriority w:val="34"/>
    <w:rsid w:val="002D41CE"/>
    <w:rPr>
      <w:rFonts w:ascii="Gill Sans MT" w:eastAsia="Gill Sans MT" w:hAnsi="Gill Sans MT" w:cs="Times New Roman"/>
      <w:color w:val="000000"/>
      <w:sz w:val="20"/>
      <w:szCs w:val="20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1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CE"/>
    <w:rPr>
      <w:rFonts w:ascii="Tahoma" w:eastAsia="Gill Sans MT" w:hAnsi="Tahoma" w:cs="Tahoma"/>
      <w:color w:val="000000"/>
      <w:sz w:val="16"/>
      <w:szCs w:val="16"/>
      <w:lang w:val="en-US" w:eastAsia="ja-JP"/>
    </w:rPr>
  </w:style>
  <w:style w:type="paragraph" w:styleId="En-tte">
    <w:name w:val="header"/>
    <w:basedOn w:val="Normal"/>
    <w:link w:val="En-tteCar"/>
    <w:uiPriority w:val="99"/>
    <w:unhideWhenUsed/>
    <w:rsid w:val="008C6BB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C6BB2"/>
    <w:rPr>
      <w:rFonts w:ascii="Gill Sans MT" w:eastAsia="Gill Sans MT" w:hAnsi="Gill Sans MT" w:cs="Times New Roman"/>
      <w:color w:val="000000"/>
      <w:sz w:val="20"/>
      <w:szCs w:val="20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8C6B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6BB2"/>
    <w:rPr>
      <w:rFonts w:ascii="Gill Sans MT" w:eastAsia="Gill Sans MT" w:hAnsi="Gill Sans MT" w:cs="Times New Roman"/>
      <w:color w:val="000000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CE"/>
    <w:pPr>
      <w:spacing w:after="0" w:line="240" w:lineRule="auto"/>
    </w:pPr>
    <w:rPr>
      <w:rFonts w:ascii="Gill Sans MT" w:eastAsia="Gill Sans MT" w:hAnsi="Gill Sans MT" w:cs="Times New Roman"/>
      <w:color w:val="000000"/>
      <w:sz w:val="20"/>
      <w:szCs w:val="20"/>
      <w:lang w:val="en-US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2D41CE"/>
    <w:pPr>
      <w:outlineLvl w:val="0"/>
    </w:pPr>
    <w:rPr>
      <w:rFonts w:ascii="Bookman Old Style" w:hAnsi="Bookman Old Style"/>
      <w:color w:val="984806"/>
      <w:sz w:val="40"/>
      <w:szCs w:val="4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41CE"/>
    <w:rPr>
      <w:rFonts w:ascii="Bookman Old Style" w:eastAsia="Gill Sans MT" w:hAnsi="Bookman Old Style" w:cs="Times New Roman"/>
      <w:color w:val="984806"/>
      <w:sz w:val="40"/>
      <w:szCs w:val="40"/>
      <w:lang w:eastAsia="ja-JP"/>
    </w:rPr>
  </w:style>
  <w:style w:type="paragraph" w:customStyle="1" w:styleId="Listecouleur-Accent11">
    <w:name w:val="Liste couleur - Accent 11"/>
    <w:basedOn w:val="Normal"/>
    <w:link w:val="Listecouleur-Accent11Char"/>
    <w:uiPriority w:val="34"/>
    <w:qFormat/>
    <w:rsid w:val="002D41CE"/>
    <w:pPr>
      <w:ind w:left="720"/>
      <w:contextualSpacing/>
    </w:pPr>
  </w:style>
  <w:style w:type="character" w:styleId="Lienhypertexte">
    <w:name w:val="Hyperlink"/>
    <w:uiPriority w:val="99"/>
    <w:unhideWhenUsed/>
    <w:rsid w:val="002D41CE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D41CE"/>
    <w:rPr>
      <w:sz w:val="24"/>
      <w:szCs w:val="24"/>
      <w:lang w:val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D41CE"/>
    <w:rPr>
      <w:rFonts w:ascii="Gill Sans MT" w:eastAsia="Gill Sans MT" w:hAnsi="Gill Sans MT" w:cs="Times New Roman"/>
      <w:color w:val="000000"/>
      <w:sz w:val="24"/>
      <w:szCs w:val="24"/>
      <w:lang w:val="x-none" w:eastAsia="ja-JP"/>
    </w:rPr>
  </w:style>
  <w:style w:type="character" w:styleId="Appelnotedebasdep">
    <w:name w:val="footnote reference"/>
    <w:uiPriority w:val="99"/>
    <w:semiHidden/>
    <w:unhideWhenUsed/>
    <w:rsid w:val="002D41CE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unhideWhenUsed/>
    <w:rsid w:val="002D41CE"/>
    <w:rPr>
      <w:rFonts w:ascii="Cambria" w:eastAsia="Times New Roman" w:hAnsi="Cambria"/>
      <w:color w:val="auto"/>
      <w:sz w:val="24"/>
      <w:szCs w:val="24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rsid w:val="002D41C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Marquedecommentaire">
    <w:name w:val="annotation reference"/>
    <w:uiPriority w:val="99"/>
    <w:unhideWhenUsed/>
    <w:rsid w:val="002D41CE"/>
    <w:rPr>
      <w:sz w:val="18"/>
      <w:szCs w:val="18"/>
    </w:rPr>
  </w:style>
  <w:style w:type="character" w:customStyle="1" w:styleId="Listecouleur-Accent11Char">
    <w:name w:val="Liste couleur - Accent 11 Char"/>
    <w:link w:val="Listecouleur-Accent11"/>
    <w:uiPriority w:val="34"/>
    <w:rsid w:val="002D41CE"/>
    <w:rPr>
      <w:rFonts w:ascii="Gill Sans MT" w:eastAsia="Gill Sans MT" w:hAnsi="Gill Sans MT" w:cs="Times New Roman"/>
      <w:color w:val="000000"/>
      <w:sz w:val="20"/>
      <w:szCs w:val="20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1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CE"/>
    <w:rPr>
      <w:rFonts w:ascii="Tahoma" w:eastAsia="Gill Sans MT" w:hAnsi="Tahoma" w:cs="Tahoma"/>
      <w:color w:val="000000"/>
      <w:sz w:val="16"/>
      <w:szCs w:val="16"/>
      <w:lang w:val="en-US" w:eastAsia="ja-JP"/>
    </w:rPr>
  </w:style>
  <w:style w:type="paragraph" w:styleId="En-tte">
    <w:name w:val="header"/>
    <w:basedOn w:val="Normal"/>
    <w:link w:val="En-tteCar"/>
    <w:uiPriority w:val="99"/>
    <w:unhideWhenUsed/>
    <w:rsid w:val="008C6BB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C6BB2"/>
    <w:rPr>
      <w:rFonts w:ascii="Gill Sans MT" w:eastAsia="Gill Sans MT" w:hAnsi="Gill Sans MT" w:cs="Times New Roman"/>
      <w:color w:val="000000"/>
      <w:sz w:val="20"/>
      <w:szCs w:val="20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8C6B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6BB2"/>
    <w:rPr>
      <w:rFonts w:ascii="Gill Sans MT" w:eastAsia="Gill Sans MT" w:hAnsi="Gill Sans MT" w:cs="Times New Roman"/>
      <w:color w:val="000000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83E3-5B1B-4B29-BF3C-37F63E00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1834</Words>
  <Characters>10092</Characters>
  <Application>Microsoft Office Word</Application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Tessier</dc:creator>
  <cp:lastModifiedBy>François Tessier</cp:lastModifiedBy>
  <cp:revision>4</cp:revision>
  <cp:lastPrinted>2014-04-28T20:13:00Z</cp:lastPrinted>
  <dcterms:created xsi:type="dcterms:W3CDTF">2014-05-22T19:09:00Z</dcterms:created>
  <dcterms:modified xsi:type="dcterms:W3CDTF">2014-05-23T18:09:00Z</dcterms:modified>
</cp:coreProperties>
</file>