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F1" w:rsidRPr="00F53FD5" w:rsidRDefault="00D03BF1" w:rsidP="00D03BF1">
      <w:pPr>
        <w:jc w:val="center"/>
        <w:rPr>
          <w:rFonts w:ascii="Arial Narrow" w:hAnsi="Arial Narrow"/>
          <w:b/>
          <w:sz w:val="24"/>
          <w:szCs w:val="24"/>
        </w:rPr>
      </w:pPr>
      <w:bookmarkStart w:id="0" w:name="_Toc384357984"/>
      <w:r w:rsidRPr="00F53FD5">
        <w:rPr>
          <w:rFonts w:ascii="Arial Narrow" w:hAnsi="Arial Narrow"/>
          <w:b/>
          <w:sz w:val="24"/>
          <w:szCs w:val="24"/>
        </w:rPr>
        <w:t>Grille d’autoévaluation : culture d’engagement systémique</w:t>
      </w:r>
      <w:bookmarkEnd w:id="0"/>
    </w:p>
    <w:p w:rsidR="00F53FD5" w:rsidRPr="00F53FD5" w:rsidRDefault="00F53FD5" w:rsidP="00F53FD5">
      <w:pPr>
        <w:pStyle w:val="Listecouleur-Accent11"/>
        <w:spacing w:line="276" w:lineRule="auto"/>
        <w:ind w:left="-993"/>
        <w:rPr>
          <w:rFonts w:ascii="Arial Narrow" w:hAnsi="Arial Narrow"/>
          <w:color w:val="auto"/>
          <w:sz w:val="24"/>
          <w:szCs w:val="24"/>
          <w:lang w:val="fr-CA"/>
        </w:rPr>
      </w:pPr>
      <w:r w:rsidRPr="00F53FD5">
        <w:rPr>
          <w:rFonts w:ascii="Arial Narrow" w:hAnsi="Arial Narrow"/>
          <w:color w:val="auto"/>
          <w:sz w:val="24"/>
          <w:szCs w:val="24"/>
          <w:lang w:val="fr-CA"/>
        </w:rPr>
        <w:t xml:space="preserve">La grille ci-dessous contient la liste des caractéristiques de la </w:t>
      </w:r>
      <w:r w:rsidRPr="00F53FD5">
        <w:rPr>
          <w:rFonts w:ascii="Arial Narrow" w:hAnsi="Arial Narrow"/>
          <w:b/>
          <w:color w:val="auto"/>
          <w:sz w:val="24"/>
          <w:szCs w:val="24"/>
          <w:lang w:val="fr-CA"/>
        </w:rPr>
        <w:t>culture d’engagement systémique</w:t>
      </w:r>
      <w:r w:rsidRPr="00F53FD5">
        <w:rPr>
          <w:rFonts w:ascii="Arial Narrow" w:hAnsi="Arial Narrow"/>
          <w:color w:val="auto"/>
          <w:sz w:val="24"/>
          <w:szCs w:val="24"/>
          <w:lang w:val="fr-CA"/>
        </w:rPr>
        <w:t>. Elle pourrait servir aux écoles et aux conseils scolaires à amorcer une réflexion sur l’importance accordée à la culture d’engagement au sein de leurs établissements.</w:t>
      </w:r>
      <w:r w:rsidRPr="00F53FD5">
        <w:rPr>
          <w:rFonts w:ascii="Arial Narrow" w:hAnsi="Arial Narrow"/>
          <w:color w:val="auto"/>
          <w:sz w:val="24"/>
          <w:szCs w:val="24"/>
          <w:lang w:val="fr-CA"/>
        </w:rPr>
        <w:t xml:space="preserve"> </w:t>
      </w:r>
      <w:r w:rsidRPr="00F53FD5">
        <w:rPr>
          <w:rFonts w:ascii="Arial Narrow" w:hAnsi="Arial Narrow"/>
          <w:color w:val="auto"/>
          <w:sz w:val="24"/>
          <w:szCs w:val="24"/>
          <w:lang w:val="fr-CA"/>
        </w:rPr>
        <w:t>Pour remplir la grille, il suffit de quantifier, sur une échelle de 0 à 3 (0 = jamais; 1 = peu souvent; 2 = souvent; 3 = toujours), les pratiques des enseignantes et enseignants et des élèves afin d’obtenir un portrait de la situation sur le plan de la culture d’engagement systémique. Les utilisatrices et utilisateurs peuvent remplir la grille à l’ordinateur ou l’</w:t>
      </w:r>
      <w:bookmarkStart w:id="1" w:name="_GoBack"/>
      <w:bookmarkEnd w:id="1"/>
      <w:r w:rsidRPr="00F53FD5">
        <w:rPr>
          <w:rFonts w:ascii="Arial Narrow" w:hAnsi="Arial Narrow"/>
          <w:color w:val="auto"/>
          <w:sz w:val="24"/>
          <w:szCs w:val="24"/>
          <w:lang w:val="fr-CA"/>
        </w:rPr>
        <w:t>imprimer en format papier, ou encore, s’en inspirer pour élaborer une grille adaptée à leur contexte.</w:t>
      </w:r>
    </w:p>
    <w:p w:rsidR="00F53FD5" w:rsidRPr="00F53FD5" w:rsidRDefault="00F53FD5" w:rsidP="00F53FD5">
      <w:pPr>
        <w:pStyle w:val="Listecouleur-Accent11"/>
        <w:spacing w:line="276" w:lineRule="auto"/>
        <w:ind w:left="0"/>
        <w:rPr>
          <w:rFonts w:ascii="Arial Narrow" w:hAnsi="Arial Narrow"/>
          <w:color w:val="auto"/>
          <w:sz w:val="24"/>
          <w:szCs w:val="24"/>
          <w:lang w:val="fr-CA"/>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gridCol w:w="992"/>
      </w:tblGrid>
      <w:tr w:rsidR="00F53FD5" w:rsidRPr="00F53FD5" w:rsidTr="000E747B">
        <w:tc>
          <w:tcPr>
            <w:tcW w:w="9640" w:type="dxa"/>
          </w:tcPr>
          <w:p w:rsidR="00D03BF1" w:rsidRPr="00F53FD5" w:rsidRDefault="00D03BF1" w:rsidP="00BD36E1">
            <w:pPr>
              <w:pStyle w:val="Listecouleur-Accent11"/>
              <w:spacing w:line="276" w:lineRule="auto"/>
              <w:ind w:left="0"/>
              <w:rPr>
                <w:rFonts w:ascii="Arial Narrow" w:hAnsi="Arial Narrow"/>
                <w:b/>
                <w:color w:val="auto"/>
                <w:sz w:val="24"/>
                <w:szCs w:val="24"/>
                <w:lang w:val="fr-CA"/>
              </w:rPr>
            </w:pPr>
            <w:r w:rsidRPr="00F53FD5">
              <w:rPr>
                <w:rFonts w:ascii="Arial Narrow" w:hAnsi="Arial Narrow"/>
                <w:b/>
                <w:color w:val="auto"/>
                <w:sz w:val="24"/>
                <w:szCs w:val="24"/>
                <w:lang w:val="fr-CA"/>
              </w:rPr>
              <w:t>À notre école… ou dans notre conseil scolaire…</w:t>
            </w:r>
          </w:p>
        </w:tc>
        <w:tc>
          <w:tcPr>
            <w:tcW w:w="992" w:type="dxa"/>
          </w:tcPr>
          <w:p w:rsidR="00D03BF1" w:rsidRPr="00F53FD5" w:rsidRDefault="00D03BF1" w:rsidP="00BD36E1">
            <w:pPr>
              <w:pStyle w:val="Listecouleur-Accent11"/>
              <w:spacing w:line="276" w:lineRule="auto"/>
              <w:ind w:left="0"/>
              <w:jc w:val="center"/>
              <w:rPr>
                <w:rFonts w:ascii="Arial Narrow" w:hAnsi="Arial Narrow"/>
                <w:b/>
                <w:color w:val="auto"/>
                <w:sz w:val="24"/>
                <w:szCs w:val="24"/>
                <w:lang w:val="fr-CA"/>
              </w:rPr>
            </w:pPr>
            <w:r w:rsidRPr="00F53FD5">
              <w:rPr>
                <w:rFonts w:ascii="Arial Narrow" w:hAnsi="Arial Narrow"/>
                <w:b/>
                <w:color w:val="auto"/>
                <w:sz w:val="24"/>
                <w:szCs w:val="24"/>
                <w:lang w:val="fr-CA"/>
              </w:rPr>
              <w:t xml:space="preserve">0 1 2 3 </w:t>
            </w: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enseignantes et enseignants favorisent le développement des compétences recensées du 21</w:t>
            </w:r>
            <w:r w:rsidRPr="00F53FD5">
              <w:rPr>
                <w:rFonts w:ascii="Arial Narrow" w:hAnsi="Arial Narrow"/>
                <w:color w:val="auto"/>
                <w:sz w:val="24"/>
                <w:szCs w:val="24"/>
                <w:vertAlign w:val="superscript"/>
                <w:lang w:val="fr-CA"/>
              </w:rPr>
              <w:t>e</w:t>
            </w:r>
            <w:r w:rsidRPr="00F53FD5">
              <w:rPr>
                <w:rFonts w:ascii="Arial Narrow" w:hAnsi="Arial Narrow"/>
                <w:color w:val="auto"/>
                <w:sz w:val="24"/>
                <w:szCs w:val="24"/>
                <w:lang w:val="fr-CA"/>
              </w:rPr>
              <w:t> siècle chez leurs élèves.</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élèves et les enseignantes et enseignants adhèrent à la vision et à aux objectifs de la culture d’engagement systémique dans le virage au 21</w:t>
            </w:r>
            <w:r w:rsidRPr="00F53FD5">
              <w:rPr>
                <w:rFonts w:ascii="Arial Narrow" w:hAnsi="Arial Narrow"/>
                <w:color w:val="auto"/>
                <w:sz w:val="24"/>
                <w:szCs w:val="24"/>
                <w:vertAlign w:val="superscript"/>
                <w:lang w:val="fr-CA"/>
              </w:rPr>
              <w:t>e</w:t>
            </w:r>
            <w:r w:rsidRPr="00F53FD5">
              <w:rPr>
                <w:rFonts w:ascii="Arial Narrow" w:hAnsi="Arial Narrow"/>
                <w:color w:val="auto"/>
                <w:sz w:val="24"/>
                <w:szCs w:val="24"/>
                <w:lang w:val="fr-CA"/>
              </w:rPr>
              <w:t xml:space="preserve"> siècle en vue d’accompagner les intervenantes et intervenants.</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 xml:space="preserve">Les communautés d’apprentissage professionnelles virtuelles sont actives et structurées. </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ind w:left="357" w:hanging="357"/>
              <w:rPr>
                <w:rFonts w:ascii="Arial Narrow" w:hAnsi="Arial Narrow"/>
                <w:bCs/>
                <w:color w:val="auto"/>
                <w:sz w:val="24"/>
                <w:szCs w:val="24"/>
                <w:lang w:val="fr-CA"/>
              </w:rPr>
            </w:pPr>
            <w:r w:rsidRPr="00F53FD5">
              <w:rPr>
                <w:rFonts w:ascii="Arial Narrow" w:hAnsi="Arial Narrow"/>
                <w:bCs/>
                <w:color w:val="auto"/>
                <w:sz w:val="24"/>
                <w:szCs w:val="24"/>
                <w:lang w:val="fr-CA"/>
              </w:rPr>
              <w:t xml:space="preserve">Les enseignantes et enseignants participent activement à des communautés d’apprentissage professionnelles virtuelles par école, </w:t>
            </w:r>
            <w:proofErr w:type="spellStart"/>
            <w:r w:rsidRPr="00F53FD5">
              <w:rPr>
                <w:rFonts w:ascii="Arial Narrow" w:hAnsi="Arial Narrow"/>
                <w:bCs/>
                <w:color w:val="auto"/>
                <w:sz w:val="24"/>
                <w:szCs w:val="24"/>
                <w:lang w:val="fr-CA"/>
              </w:rPr>
              <w:t>interécoles</w:t>
            </w:r>
            <w:proofErr w:type="spellEnd"/>
            <w:r w:rsidRPr="00F53FD5">
              <w:rPr>
                <w:rFonts w:ascii="Arial Narrow" w:hAnsi="Arial Narrow"/>
                <w:bCs/>
                <w:color w:val="auto"/>
                <w:sz w:val="24"/>
                <w:szCs w:val="24"/>
                <w:lang w:val="fr-CA"/>
              </w:rPr>
              <w:t xml:space="preserve"> et </w:t>
            </w:r>
            <w:proofErr w:type="spellStart"/>
            <w:r w:rsidRPr="00F53FD5">
              <w:rPr>
                <w:rFonts w:ascii="Arial Narrow" w:hAnsi="Arial Narrow"/>
                <w:bCs/>
                <w:color w:val="auto"/>
                <w:sz w:val="24"/>
                <w:szCs w:val="24"/>
                <w:lang w:val="fr-CA"/>
              </w:rPr>
              <w:t>interconseils</w:t>
            </w:r>
            <w:proofErr w:type="spellEnd"/>
            <w:r w:rsidRPr="00F53FD5">
              <w:rPr>
                <w:rFonts w:ascii="Arial Narrow" w:hAnsi="Arial Narrow"/>
                <w:bCs/>
                <w:color w:val="auto"/>
                <w:sz w:val="24"/>
                <w:szCs w:val="24"/>
                <w:lang w:val="fr-CA"/>
              </w:rPr>
              <w:t xml:space="preserve"> scolaires.</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ind w:left="357" w:hanging="357"/>
              <w:rPr>
                <w:rFonts w:ascii="Arial Narrow" w:hAnsi="Arial Narrow"/>
                <w:bCs/>
                <w:color w:val="auto"/>
                <w:sz w:val="24"/>
                <w:szCs w:val="24"/>
                <w:lang w:val="fr-CA"/>
              </w:rPr>
            </w:pPr>
            <w:r w:rsidRPr="00F53FD5">
              <w:rPr>
                <w:rFonts w:ascii="Arial Narrow" w:hAnsi="Arial Narrow"/>
                <w:bCs/>
                <w:color w:val="auto"/>
                <w:sz w:val="24"/>
                <w:szCs w:val="24"/>
                <w:lang w:val="fr-CA"/>
              </w:rPr>
              <w:t xml:space="preserve">Les enseignantes et enseignants reçoivent de la formation et un accompagnement </w:t>
            </w:r>
            <w:proofErr w:type="gramStart"/>
            <w:r w:rsidRPr="00F53FD5">
              <w:rPr>
                <w:rFonts w:ascii="Arial Narrow" w:hAnsi="Arial Narrow"/>
                <w:bCs/>
                <w:color w:val="auto"/>
                <w:sz w:val="24"/>
                <w:szCs w:val="24"/>
                <w:lang w:val="fr-CA"/>
              </w:rPr>
              <w:t>continus</w:t>
            </w:r>
            <w:proofErr w:type="gramEnd"/>
            <w:r w:rsidRPr="00F53FD5">
              <w:rPr>
                <w:rFonts w:ascii="Arial Narrow" w:hAnsi="Arial Narrow"/>
                <w:bCs/>
                <w:color w:val="auto"/>
                <w:sz w:val="24"/>
                <w:szCs w:val="24"/>
                <w:lang w:val="fr-CA"/>
              </w:rPr>
              <w:t xml:space="preserve"> contextualisés est offerts sur place - mentorat, </w:t>
            </w:r>
            <w:proofErr w:type="spellStart"/>
            <w:r w:rsidRPr="00F53FD5">
              <w:rPr>
                <w:rFonts w:ascii="Arial Narrow" w:hAnsi="Arial Narrow"/>
                <w:bCs/>
                <w:color w:val="auto"/>
                <w:sz w:val="24"/>
                <w:szCs w:val="24"/>
                <w:lang w:val="fr-CA"/>
              </w:rPr>
              <w:t>co</w:t>
            </w:r>
            <w:proofErr w:type="spellEnd"/>
            <w:r w:rsidRPr="00F53FD5">
              <w:rPr>
                <w:rFonts w:ascii="Arial Narrow" w:hAnsi="Arial Narrow"/>
                <w:bCs/>
                <w:color w:val="auto"/>
                <w:sz w:val="24"/>
                <w:szCs w:val="24"/>
                <w:lang w:val="fr-CA"/>
              </w:rPr>
              <w:t>-enseignement, conférencière ou conférencier, Skype, vidéo, tutoriel, etc.</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ind w:left="357" w:hanging="357"/>
              <w:rPr>
                <w:rFonts w:ascii="Arial Narrow" w:hAnsi="Arial Narrow"/>
                <w:bCs/>
                <w:color w:val="auto"/>
                <w:sz w:val="24"/>
                <w:szCs w:val="24"/>
                <w:lang w:val="fr-CA"/>
              </w:rPr>
            </w:pPr>
            <w:r w:rsidRPr="00F53FD5">
              <w:rPr>
                <w:rFonts w:ascii="Arial Narrow" w:hAnsi="Arial Narrow"/>
                <w:bCs/>
                <w:color w:val="auto"/>
                <w:sz w:val="24"/>
                <w:szCs w:val="24"/>
                <w:lang w:val="fr-CA"/>
              </w:rPr>
              <w:t>La formation et l’accompagnement continus offerts se réalisent a besoin et de façon variée, soit en individuel, en petits groupes homogènes de regroupement d’écoles, par équipe de niveau ou cycle scolaire, par équipe-école, en grands groupes, en plénière, etc.</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ind w:left="357" w:hanging="357"/>
              <w:rPr>
                <w:rFonts w:ascii="Arial Narrow" w:hAnsi="Arial Narrow"/>
                <w:bCs/>
                <w:color w:val="auto"/>
                <w:sz w:val="24"/>
                <w:szCs w:val="24"/>
                <w:lang w:val="fr-CA"/>
              </w:rPr>
            </w:pPr>
            <w:r w:rsidRPr="00F53FD5">
              <w:rPr>
                <w:rFonts w:ascii="Arial Narrow" w:hAnsi="Arial Narrow"/>
                <w:bCs/>
                <w:color w:val="auto"/>
                <w:sz w:val="24"/>
                <w:szCs w:val="24"/>
                <w:lang w:val="fr-CA"/>
              </w:rPr>
              <w:t>Les enseignantes et enseignants entretiennent une grande complicité entre eux dans le virage au 21</w:t>
            </w:r>
            <w:r w:rsidRPr="00F53FD5">
              <w:rPr>
                <w:rFonts w:ascii="Arial Narrow" w:hAnsi="Arial Narrow"/>
                <w:bCs/>
                <w:color w:val="auto"/>
                <w:sz w:val="24"/>
                <w:szCs w:val="24"/>
                <w:vertAlign w:val="superscript"/>
                <w:lang w:val="fr-CA"/>
              </w:rPr>
              <w:t>e</w:t>
            </w:r>
            <w:r w:rsidRPr="00F53FD5">
              <w:rPr>
                <w:rFonts w:ascii="Arial Narrow" w:hAnsi="Arial Narrow"/>
                <w:bCs/>
                <w:color w:val="auto"/>
                <w:sz w:val="24"/>
                <w:szCs w:val="24"/>
                <w:lang w:val="fr-CA"/>
              </w:rPr>
              <w:t xml:space="preserve"> siècle.</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directrices et directeurs et les enseignantes et enseignants prévoient du temps à l’horaire afin qu’ils puissent ensemble planifier la mise en œuvre de la nouvelle pédagogie et discuter de l’amélioration du rendement et de la performance.</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élèves naviguent de façon responsable dans l’univers numérique et prennent conscience de leur empreinte numérique, soit les traces publiques qu’ils laissent après chaque utilisation en vue de mieux s’engager dans cette culture.</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enseignantes et enseignants inculquent et développent chez les élèves la capacité à devenir des citoyennes et citoyens francophones responsables et engagés à l’ère numérique au sein de la communauté.</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parents comprennent l’importance du développement des compétences au 21</w:t>
            </w:r>
            <w:r w:rsidRPr="00F53FD5">
              <w:rPr>
                <w:rFonts w:ascii="Arial Narrow" w:hAnsi="Arial Narrow"/>
                <w:color w:val="auto"/>
                <w:sz w:val="24"/>
                <w:szCs w:val="24"/>
                <w:vertAlign w:val="superscript"/>
                <w:lang w:val="fr-CA"/>
              </w:rPr>
              <w:t>e</w:t>
            </w:r>
            <w:r w:rsidRPr="00F53FD5">
              <w:rPr>
                <w:rFonts w:ascii="Arial Narrow" w:hAnsi="Arial Narrow"/>
                <w:color w:val="auto"/>
                <w:sz w:val="24"/>
                <w:szCs w:val="24"/>
                <w:lang w:val="fr-CA"/>
              </w:rPr>
              <w:t xml:space="preserve"> siècle et appuient les enseignantes et enseignants comme partenaires dans l’éducation de leur enfant.</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parents font valoir le virage du 21</w:t>
            </w:r>
            <w:r w:rsidRPr="00F53FD5">
              <w:rPr>
                <w:rFonts w:ascii="Arial Narrow" w:hAnsi="Arial Narrow"/>
                <w:color w:val="auto"/>
                <w:sz w:val="24"/>
                <w:szCs w:val="24"/>
                <w:vertAlign w:val="superscript"/>
                <w:lang w:val="fr-CA"/>
              </w:rPr>
              <w:t>e</w:t>
            </w:r>
            <w:r w:rsidRPr="00F53FD5">
              <w:rPr>
                <w:rFonts w:ascii="Arial Narrow" w:hAnsi="Arial Narrow"/>
                <w:color w:val="auto"/>
                <w:sz w:val="24"/>
                <w:szCs w:val="24"/>
                <w:lang w:val="fr-CA"/>
              </w:rPr>
              <w:t xml:space="preserve"> siècle nécessaire auprès de la communauté scolaire.</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L’école et le conseil scolaire utilisent les moyens de communication les plus populaires pour l’envoi des autorisations spéciales lors de sorties, les communiqués, etc.</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enseignantes et enseignants et les conseils scolaires mettent au point des approches axées sur l’environnement infonuagique afin d’assurer à la communauté scolaire un accès à des activités et ressources d’enseignement et d’apprentissage pour encourager des partenariats et tisser des liens pour que les élèves puissent obtenir des emplois dans un milieu de travail en français.</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D03BF1">
            <w:pPr>
              <w:pStyle w:val="Listecouleur-Accent11"/>
              <w:numPr>
                <w:ilvl w:val="0"/>
                <w:numId w:val="1"/>
              </w:numPr>
              <w:spacing w:line="276" w:lineRule="auto"/>
              <w:rPr>
                <w:rFonts w:ascii="Arial Narrow" w:hAnsi="Arial Narrow"/>
                <w:color w:val="auto"/>
                <w:sz w:val="24"/>
                <w:szCs w:val="24"/>
                <w:lang w:val="fr-CA"/>
              </w:rPr>
            </w:pPr>
            <w:r w:rsidRPr="00F53FD5">
              <w:rPr>
                <w:rFonts w:ascii="Arial Narrow" w:hAnsi="Arial Narrow"/>
                <w:color w:val="auto"/>
                <w:sz w:val="24"/>
                <w:szCs w:val="24"/>
                <w:lang w:val="fr-CA"/>
              </w:rPr>
              <w:t>Les élèves réalisent des activités authentiques et posent des gestes concrets auprès de différents organismes dans la collectivité pour échanger et interagir avec eux.</w:t>
            </w:r>
          </w:p>
        </w:tc>
        <w:tc>
          <w:tcPr>
            <w:tcW w:w="992" w:type="dxa"/>
          </w:tcPr>
          <w:p w:rsidR="00D03BF1" w:rsidRPr="00F53FD5" w:rsidRDefault="00D03BF1" w:rsidP="00BD36E1">
            <w:pPr>
              <w:pStyle w:val="Listecouleur-Accent11"/>
              <w:spacing w:line="276" w:lineRule="auto"/>
              <w:ind w:left="0"/>
              <w:jc w:val="center"/>
              <w:rPr>
                <w:rFonts w:ascii="Arial Narrow" w:hAnsi="Arial Narrow"/>
                <w:color w:val="auto"/>
                <w:sz w:val="24"/>
                <w:szCs w:val="24"/>
                <w:lang w:val="fr-CA"/>
              </w:rPr>
            </w:pPr>
          </w:p>
        </w:tc>
      </w:tr>
      <w:tr w:rsidR="00F53FD5" w:rsidRPr="00F53FD5" w:rsidTr="000E747B">
        <w:tc>
          <w:tcPr>
            <w:tcW w:w="9640" w:type="dxa"/>
          </w:tcPr>
          <w:p w:rsidR="00D03BF1" w:rsidRPr="00F53FD5" w:rsidRDefault="00D03BF1" w:rsidP="00BD36E1">
            <w:pPr>
              <w:pStyle w:val="Listecouleur-Accent11"/>
              <w:spacing w:line="276" w:lineRule="auto"/>
              <w:ind w:left="0"/>
              <w:rPr>
                <w:rFonts w:ascii="Arial Narrow" w:hAnsi="Arial Narrow"/>
                <w:color w:val="auto"/>
                <w:sz w:val="24"/>
                <w:szCs w:val="24"/>
                <w:lang w:val="fr-CA"/>
              </w:rPr>
            </w:pPr>
          </w:p>
          <w:p w:rsidR="00D03BF1" w:rsidRPr="00F53FD5" w:rsidRDefault="00D03BF1" w:rsidP="00BD36E1">
            <w:pPr>
              <w:rPr>
                <w:rFonts w:ascii="Arial Narrow" w:hAnsi="Arial Narrow"/>
                <w:b/>
                <w:sz w:val="24"/>
                <w:szCs w:val="24"/>
              </w:rPr>
            </w:pPr>
            <w:r w:rsidRPr="00F53FD5">
              <w:rPr>
                <w:rFonts w:ascii="Arial Narrow" w:hAnsi="Arial Narrow"/>
                <w:b/>
                <w:sz w:val="24"/>
                <w:szCs w:val="24"/>
              </w:rPr>
              <w:t>Pointage total obtenu portant sur l’importance de développer une culture d’engagement systémique</w:t>
            </w:r>
          </w:p>
          <w:p w:rsidR="00D03BF1" w:rsidRPr="00F53FD5" w:rsidRDefault="00D03BF1" w:rsidP="00BD36E1">
            <w:pPr>
              <w:pStyle w:val="Listecouleur-Accent11"/>
              <w:spacing w:line="276" w:lineRule="auto"/>
              <w:ind w:left="0"/>
              <w:rPr>
                <w:rFonts w:ascii="Arial Narrow" w:hAnsi="Arial Narrow"/>
                <w:color w:val="auto"/>
                <w:sz w:val="24"/>
                <w:szCs w:val="24"/>
                <w:lang w:val="fr-CA"/>
              </w:rPr>
            </w:pPr>
          </w:p>
        </w:tc>
        <w:tc>
          <w:tcPr>
            <w:tcW w:w="992" w:type="dxa"/>
          </w:tcPr>
          <w:p w:rsidR="00D03BF1" w:rsidRPr="00F53FD5" w:rsidRDefault="00D03BF1" w:rsidP="00BD36E1">
            <w:pPr>
              <w:jc w:val="center"/>
              <w:rPr>
                <w:rFonts w:ascii="Arial Narrow" w:hAnsi="Arial Narrow"/>
                <w:b/>
                <w:sz w:val="24"/>
                <w:szCs w:val="24"/>
              </w:rPr>
            </w:pPr>
          </w:p>
          <w:p w:rsidR="00D03BF1" w:rsidRPr="00F53FD5" w:rsidRDefault="00D03BF1" w:rsidP="00BD36E1">
            <w:pPr>
              <w:jc w:val="center"/>
              <w:rPr>
                <w:rFonts w:ascii="Arial Narrow" w:hAnsi="Arial Narrow"/>
                <w:b/>
                <w:sz w:val="24"/>
                <w:szCs w:val="24"/>
              </w:rPr>
            </w:pPr>
            <w:r w:rsidRPr="00F53FD5">
              <w:rPr>
                <w:rFonts w:ascii="Arial Narrow" w:hAnsi="Arial Narrow"/>
                <w:b/>
                <w:sz w:val="24"/>
                <w:szCs w:val="24"/>
              </w:rPr>
              <w:t xml:space="preserve">       /45</w:t>
            </w:r>
          </w:p>
        </w:tc>
      </w:tr>
    </w:tbl>
    <w:p w:rsidR="00F53FD5" w:rsidRDefault="00F53FD5" w:rsidP="000E747B">
      <w:pPr>
        <w:spacing w:after="0" w:line="240" w:lineRule="auto"/>
        <w:ind w:left="-993"/>
        <w:rPr>
          <w:rFonts w:ascii="Arial Narrow" w:hAnsi="Arial Narrow"/>
          <w:sz w:val="18"/>
          <w:szCs w:val="18"/>
        </w:rPr>
      </w:pPr>
    </w:p>
    <w:p w:rsidR="00D03BF1" w:rsidRPr="00F53FD5" w:rsidRDefault="00D03BF1" w:rsidP="000E747B">
      <w:pPr>
        <w:spacing w:after="0" w:line="240" w:lineRule="auto"/>
        <w:ind w:left="-993"/>
        <w:rPr>
          <w:rFonts w:ascii="Arial Narrow" w:hAnsi="Arial Narrow"/>
        </w:rPr>
      </w:pPr>
      <w:r w:rsidRPr="00F53FD5">
        <w:rPr>
          <w:rFonts w:ascii="Arial Narrow" w:hAnsi="Arial Narrow"/>
          <w:sz w:val="18"/>
          <w:szCs w:val="18"/>
        </w:rPr>
        <w:t>Ce tableau est inspiré des compétences les plus récurrentes retrouvées dans la recension des écrits,</w:t>
      </w:r>
      <w:r w:rsidR="006756BE" w:rsidRPr="00F53FD5">
        <w:rPr>
          <w:rFonts w:ascii="Arial Narrow" w:hAnsi="Arial Narrow"/>
          <w:sz w:val="18"/>
          <w:szCs w:val="18"/>
        </w:rPr>
        <w:t xml:space="preserve"> </w:t>
      </w:r>
      <w:r w:rsidRPr="00F53FD5">
        <w:rPr>
          <w:rFonts w:ascii="Arial Narrow" w:hAnsi="Arial Narrow"/>
          <w:i/>
          <w:sz w:val="18"/>
          <w:szCs w:val="18"/>
        </w:rPr>
        <w:t xml:space="preserve">Faire croître le succès </w:t>
      </w:r>
      <w:r w:rsidRPr="00F53FD5">
        <w:rPr>
          <w:rFonts w:ascii="Arial Narrow" w:hAnsi="Arial Narrow"/>
          <w:sz w:val="18"/>
          <w:szCs w:val="18"/>
        </w:rPr>
        <w:t>(2010),</w:t>
      </w:r>
      <w:r w:rsidR="006756BE" w:rsidRPr="00F53FD5">
        <w:rPr>
          <w:rFonts w:ascii="Arial Narrow" w:hAnsi="Arial Narrow"/>
          <w:sz w:val="18"/>
          <w:szCs w:val="18"/>
        </w:rPr>
        <w:t xml:space="preserve"> </w:t>
      </w:r>
      <w:r w:rsidRPr="00F53FD5">
        <w:rPr>
          <w:rFonts w:ascii="Arial Narrow" w:hAnsi="Arial Narrow"/>
          <w:i/>
          <w:sz w:val="18"/>
          <w:szCs w:val="18"/>
        </w:rPr>
        <w:t>Une approche culturelle de l’enseignement pour l’appropriation de la culture</w:t>
      </w:r>
      <w:r w:rsidR="006756BE" w:rsidRPr="00F53FD5">
        <w:rPr>
          <w:rFonts w:ascii="Arial Narrow" w:hAnsi="Arial Narrow"/>
          <w:i/>
          <w:sz w:val="18"/>
          <w:szCs w:val="18"/>
        </w:rPr>
        <w:t xml:space="preserve"> </w:t>
      </w:r>
      <w:r w:rsidRPr="00F53FD5">
        <w:rPr>
          <w:rFonts w:ascii="Arial Narrow" w:hAnsi="Arial Narrow"/>
          <w:i/>
          <w:sz w:val="18"/>
          <w:szCs w:val="18"/>
        </w:rPr>
        <w:t>dans les écoles de langue française de l’Ontario (</w:t>
      </w:r>
      <w:r w:rsidRPr="00F53FD5">
        <w:rPr>
          <w:rFonts w:ascii="Arial Narrow" w:hAnsi="Arial Narrow"/>
          <w:sz w:val="18"/>
          <w:szCs w:val="18"/>
        </w:rPr>
        <w:t>2009),</w:t>
      </w:r>
      <w:r w:rsidR="006756BE" w:rsidRPr="00F53FD5">
        <w:rPr>
          <w:rFonts w:ascii="Arial Narrow" w:hAnsi="Arial Narrow"/>
          <w:sz w:val="18"/>
          <w:szCs w:val="18"/>
        </w:rPr>
        <w:t xml:space="preserve"> </w:t>
      </w:r>
      <w:r w:rsidRPr="00F53FD5">
        <w:rPr>
          <w:rFonts w:ascii="Arial Narrow" w:hAnsi="Arial Narrow"/>
          <w:sz w:val="18"/>
          <w:szCs w:val="18"/>
        </w:rPr>
        <w:t xml:space="preserve">de la </w:t>
      </w:r>
      <w:r w:rsidRPr="00F53FD5">
        <w:rPr>
          <w:rFonts w:ascii="Arial Narrow" w:hAnsi="Arial Narrow"/>
          <w:i/>
          <w:sz w:val="18"/>
          <w:szCs w:val="18"/>
        </w:rPr>
        <w:t>Politique d’aménagement linguistique de l’Ontario pour l’éducation en langue française</w:t>
      </w:r>
      <w:r w:rsidRPr="00F53FD5">
        <w:rPr>
          <w:rFonts w:ascii="Arial Narrow" w:hAnsi="Arial Narrow"/>
          <w:sz w:val="18"/>
          <w:szCs w:val="18"/>
        </w:rPr>
        <w:t xml:space="preserve"> (2004),</w:t>
      </w:r>
      <w:r w:rsidR="006756BE" w:rsidRPr="00F53FD5">
        <w:rPr>
          <w:rFonts w:ascii="Arial Narrow" w:hAnsi="Arial Narrow"/>
          <w:sz w:val="18"/>
          <w:szCs w:val="18"/>
        </w:rPr>
        <w:t xml:space="preserve"> </w:t>
      </w:r>
      <w:r w:rsidRPr="00F53FD5">
        <w:rPr>
          <w:rFonts w:ascii="Arial Narrow" w:hAnsi="Arial Narrow"/>
          <w:sz w:val="18"/>
          <w:szCs w:val="18"/>
        </w:rPr>
        <w:t xml:space="preserve">et de la </w:t>
      </w:r>
      <w:r w:rsidRPr="00F53FD5">
        <w:rPr>
          <w:rFonts w:ascii="Arial Narrow" w:hAnsi="Arial Narrow"/>
          <w:i/>
          <w:sz w:val="18"/>
          <w:szCs w:val="18"/>
        </w:rPr>
        <w:t>Politique d’aménagement linguistique de l’Ontario pour l’éducation postsecondaire</w:t>
      </w:r>
      <w:r w:rsidR="006756BE" w:rsidRPr="00F53FD5">
        <w:rPr>
          <w:rFonts w:ascii="Arial Narrow" w:hAnsi="Arial Narrow"/>
          <w:i/>
          <w:sz w:val="18"/>
          <w:szCs w:val="18"/>
        </w:rPr>
        <w:t xml:space="preserve"> </w:t>
      </w:r>
      <w:r w:rsidRPr="00F53FD5">
        <w:rPr>
          <w:rFonts w:ascii="Arial Narrow" w:hAnsi="Arial Narrow"/>
          <w:i/>
          <w:sz w:val="18"/>
          <w:szCs w:val="18"/>
        </w:rPr>
        <w:t xml:space="preserve">et la formation en langue française </w:t>
      </w:r>
      <w:r w:rsidRPr="00F53FD5">
        <w:rPr>
          <w:rFonts w:ascii="Arial Narrow" w:hAnsi="Arial Narrow"/>
          <w:sz w:val="18"/>
          <w:szCs w:val="18"/>
        </w:rPr>
        <w:t>(2011)</w:t>
      </w:r>
    </w:p>
    <w:sectPr w:rsidR="00D03BF1" w:rsidRPr="00F53FD5" w:rsidSect="00F53FD5">
      <w:pgSz w:w="12242" w:h="20163" w:code="121"/>
      <w:pgMar w:top="1440" w:right="7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3E"/>
    <w:multiLevelType w:val="hybridMultilevel"/>
    <w:tmpl w:val="00D6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1"/>
    <w:rsid w:val="000E747B"/>
    <w:rsid w:val="00123B2D"/>
    <w:rsid w:val="006756BE"/>
    <w:rsid w:val="00D03BF1"/>
    <w:rsid w:val="00DA16B1"/>
    <w:rsid w:val="00DB74C5"/>
    <w:rsid w:val="00DC061E"/>
    <w:rsid w:val="00DC3AE1"/>
    <w:rsid w:val="00DF11F5"/>
    <w:rsid w:val="00F53F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03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D03BF1"/>
    <w:pPr>
      <w:spacing w:after="0" w:line="240" w:lineRule="auto"/>
    </w:pPr>
    <w:rPr>
      <w:rFonts w:ascii="Cambria" w:eastAsia="Times New Roman" w:hAnsi="Cambria" w:cs="Times New Roman"/>
      <w:sz w:val="24"/>
      <w:szCs w:val="24"/>
      <w:lang w:val="x-none" w:eastAsia="x-none"/>
    </w:rPr>
  </w:style>
  <w:style w:type="character" w:customStyle="1" w:styleId="CommentaireCar">
    <w:name w:val="Commentaire Car"/>
    <w:basedOn w:val="Policepardfaut"/>
    <w:link w:val="Commentaire"/>
    <w:uiPriority w:val="99"/>
    <w:rsid w:val="00D03BF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D03BF1"/>
    <w:rPr>
      <w:sz w:val="18"/>
      <w:szCs w:val="18"/>
    </w:rPr>
  </w:style>
  <w:style w:type="character" w:styleId="Rfrenceintense">
    <w:name w:val="Intense Reference"/>
    <w:qFormat/>
    <w:rsid w:val="00D03BF1"/>
    <w:rPr>
      <w:b/>
      <w:bCs/>
      <w:smallCaps/>
      <w:color w:val="C0504D"/>
      <w:spacing w:val="5"/>
      <w:u w:val="single"/>
    </w:rPr>
  </w:style>
  <w:style w:type="paragraph" w:customStyle="1" w:styleId="Style13">
    <w:name w:val="Style13"/>
    <w:basedOn w:val="Normal"/>
    <w:next w:val="Titre3"/>
    <w:link w:val="Style13Char"/>
    <w:qFormat/>
    <w:rsid w:val="00D03BF1"/>
    <w:pPr>
      <w:pBdr>
        <w:top w:val="single" w:sz="2" w:space="1" w:color="7F63A1"/>
        <w:left w:val="single" w:sz="36" w:space="1" w:color="7F63A1"/>
        <w:bottom w:val="single" w:sz="2" w:space="1" w:color="7F63A1"/>
        <w:right w:val="single" w:sz="2" w:space="1" w:color="7F63A1"/>
      </w:pBdr>
      <w:spacing w:before="200" w:after="80" w:line="240" w:lineRule="auto"/>
      <w:ind w:left="1191"/>
      <w:outlineLvl w:val="2"/>
    </w:pPr>
    <w:rPr>
      <w:rFonts w:ascii="Bookman Old Style" w:eastAsia="Gill Sans MT" w:hAnsi="Bookman Old Style" w:cs="Times New Roman"/>
      <w:b/>
      <w:color w:val="5F497A"/>
      <w:spacing w:val="5"/>
      <w:sz w:val="24"/>
      <w:szCs w:val="24"/>
      <w:lang w:val="x-none" w:eastAsia="ja-JP"/>
    </w:rPr>
  </w:style>
  <w:style w:type="character" w:customStyle="1" w:styleId="Style13Char">
    <w:name w:val="Style13 Char"/>
    <w:link w:val="Style13"/>
    <w:rsid w:val="00D03BF1"/>
    <w:rPr>
      <w:rFonts w:ascii="Bookman Old Style" w:eastAsia="Gill Sans MT" w:hAnsi="Bookman Old Style" w:cs="Times New Roman"/>
      <w:b/>
      <w:color w:val="5F497A"/>
      <w:spacing w:val="5"/>
      <w:sz w:val="24"/>
      <w:szCs w:val="24"/>
      <w:lang w:val="x-none" w:eastAsia="ja-JP"/>
    </w:rPr>
  </w:style>
  <w:style w:type="character" w:customStyle="1" w:styleId="Titre3Car">
    <w:name w:val="Titre 3 Car"/>
    <w:basedOn w:val="Policepardfaut"/>
    <w:link w:val="Titre3"/>
    <w:uiPriority w:val="9"/>
    <w:semiHidden/>
    <w:rsid w:val="00D03BF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D03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BF1"/>
    <w:rPr>
      <w:rFonts w:ascii="Tahoma" w:hAnsi="Tahoma" w:cs="Tahoma"/>
      <w:sz w:val="16"/>
      <w:szCs w:val="16"/>
    </w:rPr>
  </w:style>
  <w:style w:type="paragraph" w:customStyle="1" w:styleId="Listecouleur-Accent11">
    <w:name w:val="Liste couleur - Accent 11"/>
    <w:basedOn w:val="Normal"/>
    <w:link w:val="Listecouleur-Accent11Char"/>
    <w:uiPriority w:val="34"/>
    <w:qFormat/>
    <w:rsid w:val="00D03BF1"/>
    <w:pPr>
      <w:spacing w:after="0" w:line="240" w:lineRule="auto"/>
      <w:ind w:left="720"/>
      <w:contextualSpacing/>
    </w:pPr>
    <w:rPr>
      <w:rFonts w:ascii="Gill Sans MT" w:eastAsia="Gill Sans MT" w:hAnsi="Gill Sans MT" w:cs="Times New Roman"/>
      <w:color w:val="000000"/>
      <w:sz w:val="20"/>
      <w:szCs w:val="20"/>
      <w:lang w:val="en-US" w:eastAsia="ja-JP"/>
    </w:rPr>
  </w:style>
  <w:style w:type="character" w:customStyle="1" w:styleId="Listecouleur-Accent11Char">
    <w:name w:val="Liste couleur - Accent 11 Char"/>
    <w:link w:val="Listecouleur-Accent11"/>
    <w:uiPriority w:val="34"/>
    <w:rsid w:val="00D03BF1"/>
    <w:rPr>
      <w:rFonts w:ascii="Gill Sans MT" w:eastAsia="Gill Sans MT" w:hAnsi="Gill Sans MT" w:cs="Times New Roman"/>
      <w:color w:val="000000"/>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03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D03BF1"/>
    <w:pPr>
      <w:spacing w:after="0" w:line="240" w:lineRule="auto"/>
    </w:pPr>
    <w:rPr>
      <w:rFonts w:ascii="Cambria" w:eastAsia="Times New Roman" w:hAnsi="Cambria" w:cs="Times New Roman"/>
      <w:sz w:val="24"/>
      <w:szCs w:val="24"/>
      <w:lang w:val="x-none" w:eastAsia="x-none"/>
    </w:rPr>
  </w:style>
  <w:style w:type="character" w:customStyle="1" w:styleId="CommentaireCar">
    <w:name w:val="Commentaire Car"/>
    <w:basedOn w:val="Policepardfaut"/>
    <w:link w:val="Commentaire"/>
    <w:uiPriority w:val="99"/>
    <w:rsid w:val="00D03BF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D03BF1"/>
    <w:rPr>
      <w:sz w:val="18"/>
      <w:szCs w:val="18"/>
    </w:rPr>
  </w:style>
  <w:style w:type="character" w:styleId="Rfrenceintense">
    <w:name w:val="Intense Reference"/>
    <w:qFormat/>
    <w:rsid w:val="00D03BF1"/>
    <w:rPr>
      <w:b/>
      <w:bCs/>
      <w:smallCaps/>
      <w:color w:val="C0504D"/>
      <w:spacing w:val="5"/>
      <w:u w:val="single"/>
    </w:rPr>
  </w:style>
  <w:style w:type="paragraph" w:customStyle="1" w:styleId="Style13">
    <w:name w:val="Style13"/>
    <w:basedOn w:val="Normal"/>
    <w:next w:val="Titre3"/>
    <w:link w:val="Style13Char"/>
    <w:qFormat/>
    <w:rsid w:val="00D03BF1"/>
    <w:pPr>
      <w:pBdr>
        <w:top w:val="single" w:sz="2" w:space="1" w:color="7F63A1"/>
        <w:left w:val="single" w:sz="36" w:space="1" w:color="7F63A1"/>
        <w:bottom w:val="single" w:sz="2" w:space="1" w:color="7F63A1"/>
        <w:right w:val="single" w:sz="2" w:space="1" w:color="7F63A1"/>
      </w:pBdr>
      <w:spacing w:before="200" w:after="80" w:line="240" w:lineRule="auto"/>
      <w:ind w:left="1191"/>
      <w:outlineLvl w:val="2"/>
    </w:pPr>
    <w:rPr>
      <w:rFonts w:ascii="Bookman Old Style" w:eastAsia="Gill Sans MT" w:hAnsi="Bookman Old Style" w:cs="Times New Roman"/>
      <w:b/>
      <w:color w:val="5F497A"/>
      <w:spacing w:val="5"/>
      <w:sz w:val="24"/>
      <w:szCs w:val="24"/>
      <w:lang w:val="x-none" w:eastAsia="ja-JP"/>
    </w:rPr>
  </w:style>
  <w:style w:type="character" w:customStyle="1" w:styleId="Style13Char">
    <w:name w:val="Style13 Char"/>
    <w:link w:val="Style13"/>
    <w:rsid w:val="00D03BF1"/>
    <w:rPr>
      <w:rFonts w:ascii="Bookman Old Style" w:eastAsia="Gill Sans MT" w:hAnsi="Bookman Old Style" w:cs="Times New Roman"/>
      <w:b/>
      <w:color w:val="5F497A"/>
      <w:spacing w:val="5"/>
      <w:sz w:val="24"/>
      <w:szCs w:val="24"/>
      <w:lang w:val="x-none" w:eastAsia="ja-JP"/>
    </w:rPr>
  </w:style>
  <w:style w:type="character" w:customStyle="1" w:styleId="Titre3Car">
    <w:name w:val="Titre 3 Car"/>
    <w:basedOn w:val="Policepardfaut"/>
    <w:link w:val="Titre3"/>
    <w:uiPriority w:val="9"/>
    <w:semiHidden/>
    <w:rsid w:val="00D03BF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D03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BF1"/>
    <w:rPr>
      <w:rFonts w:ascii="Tahoma" w:hAnsi="Tahoma" w:cs="Tahoma"/>
      <w:sz w:val="16"/>
      <w:szCs w:val="16"/>
    </w:rPr>
  </w:style>
  <w:style w:type="paragraph" w:customStyle="1" w:styleId="Listecouleur-Accent11">
    <w:name w:val="Liste couleur - Accent 11"/>
    <w:basedOn w:val="Normal"/>
    <w:link w:val="Listecouleur-Accent11Char"/>
    <w:uiPriority w:val="34"/>
    <w:qFormat/>
    <w:rsid w:val="00D03BF1"/>
    <w:pPr>
      <w:spacing w:after="0" w:line="240" w:lineRule="auto"/>
      <w:ind w:left="720"/>
      <w:contextualSpacing/>
    </w:pPr>
    <w:rPr>
      <w:rFonts w:ascii="Gill Sans MT" w:eastAsia="Gill Sans MT" w:hAnsi="Gill Sans MT" w:cs="Times New Roman"/>
      <w:color w:val="000000"/>
      <w:sz w:val="20"/>
      <w:szCs w:val="20"/>
      <w:lang w:val="en-US" w:eastAsia="ja-JP"/>
    </w:rPr>
  </w:style>
  <w:style w:type="character" w:customStyle="1" w:styleId="Listecouleur-Accent11Char">
    <w:name w:val="Liste couleur - Accent 11 Char"/>
    <w:link w:val="Listecouleur-Accent11"/>
    <w:uiPriority w:val="34"/>
    <w:rsid w:val="00D03BF1"/>
    <w:rPr>
      <w:rFonts w:ascii="Gill Sans MT" w:eastAsia="Gill Sans MT" w:hAnsi="Gill Sans MT" w:cs="Times New Roman"/>
      <w:color w:val="00000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3668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Tessier</dc:creator>
  <cp:lastModifiedBy>François Tessier</cp:lastModifiedBy>
  <cp:revision>2</cp:revision>
  <cp:lastPrinted>2014-04-29T13:25:00Z</cp:lastPrinted>
  <dcterms:created xsi:type="dcterms:W3CDTF">2014-05-22T19:01:00Z</dcterms:created>
  <dcterms:modified xsi:type="dcterms:W3CDTF">2014-05-22T19:01:00Z</dcterms:modified>
</cp:coreProperties>
</file>