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4" w:rsidRPr="00A31C94" w:rsidRDefault="00A31C94" w:rsidP="00A31C94">
      <w:pPr>
        <w:pStyle w:val="Listecouleur-Accent11"/>
        <w:spacing w:line="276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fr-CA"/>
        </w:rPr>
      </w:pPr>
      <w:r w:rsidRPr="00A31C94">
        <w:rPr>
          <w:rFonts w:ascii="Times New Roman" w:hAnsi="Times New Roman"/>
          <w:b/>
          <w:color w:val="auto"/>
          <w:sz w:val="24"/>
          <w:szCs w:val="24"/>
          <w:lang w:val="fr-CA"/>
        </w:rPr>
        <w:t>BILAN DES COMPÉTENCES</w:t>
      </w:r>
    </w:p>
    <w:p w:rsidR="00A31C94" w:rsidRDefault="00A31C94" w:rsidP="002D41CE">
      <w:pPr>
        <w:pStyle w:val="Listecouleur-Accent11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fr-CA"/>
        </w:rPr>
      </w:pPr>
    </w:p>
    <w:p w:rsidR="002D41CE" w:rsidRPr="007A4986" w:rsidRDefault="002D41CE" w:rsidP="002D41CE">
      <w:pPr>
        <w:pStyle w:val="Listecouleur-Accent11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fr-CA"/>
        </w:rPr>
      </w:pP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>Pour remplir le tableau, il suffit de qua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ntifier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 sur une échelle de 1 à 3 (1 = habileté non acquise; 2 = habileté à développer davantage; 3 = habileté maîtrisée) les pratiques des élèves afin de faire un bilan des compétences </w:t>
      </w:r>
      <w:r>
        <w:rPr>
          <w:rFonts w:ascii="Times New Roman" w:hAnsi="Times New Roman"/>
          <w:color w:val="auto"/>
          <w:sz w:val="24"/>
          <w:szCs w:val="24"/>
          <w:lang w:val="fr-CA"/>
        </w:rPr>
        <w:t>recensées</w:t>
      </w:r>
      <w:r w:rsidRPr="007A4986">
        <w:rPr>
          <w:rFonts w:ascii="Times New Roman" w:hAnsi="Times New Roman"/>
          <w:color w:val="auto"/>
          <w:sz w:val="24"/>
          <w:szCs w:val="24"/>
          <w:lang w:val="fr-CA"/>
        </w:rPr>
        <w:t xml:space="preserve">. </w:t>
      </w:r>
    </w:p>
    <w:p w:rsidR="002D41CE" w:rsidRPr="007A4986" w:rsidRDefault="002D41CE" w:rsidP="002D41CE">
      <w:pPr>
        <w:pStyle w:val="Listecouleur-Accent11"/>
        <w:spacing w:line="276" w:lineRule="auto"/>
        <w:ind w:left="0"/>
        <w:rPr>
          <w:rFonts w:ascii="Times New Roman" w:hAnsi="Times New Roman"/>
          <w:color w:val="auto"/>
          <w:sz w:val="24"/>
          <w:szCs w:val="24"/>
          <w:lang w:val="fr-CA"/>
        </w:rPr>
      </w:pP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7A4986" w:rsidTr="002D41CE">
        <w:tc>
          <w:tcPr>
            <w:tcW w:w="9073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BILAN DES COMPÉTENCES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3</w:t>
            </w:r>
          </w:p>
        </w:tc>
      </w:tr>
      <w:tr w:rsidR="002D41CE" w:rsidRPr="00604577" w:rsidTr="002D41CE">
        <w:tc>
          <w:tcPr>
            <w:tcW w:w="10774" w:type="dxa"/>
            <w:gridSpan w:val="4"/>
            <w:shd w:val="clear" w:color="auto" w:fill="F2F2F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PENSER DE FAÇON CRITIQUE – Les élèves…</w:t>
            </w: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pensent de façon critique pour concevoir des activités à partir d’une pluralité de sources.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résolvent des problèmes complexes et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significatifs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à l’aide d’une variété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d’équipement informatique,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technologiques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et de ressources numériques.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s’engagent dans un processus d’enquête et de réflexion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de façon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critique.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analysent de façon critique des informations parfois contradictoires.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examinent des idées et des situations, puis les comparent pour mieux les comprendre.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>explorent des problématiques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complexes, authentiques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, significatifs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multidimensionnels en utilisant différents outils technologiques et réseaux sociaux.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font une interprétation et une évaluation efficaces, efficientes et éthiques des données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mises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à leur disposition.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formulent des hypothèses et proposent des solutions réalistes.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développent la capacité d’acquérir de nouvelles connaissances et d’établir des liens.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prennent des décisions efficaces à partir d’une analyse et d’un jugement rigoureux.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se questionnent de façon critique afin d’influencer leur engagement en posant des gestes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dans le but d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 contribuer à un monde meilleur.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COMMUNIQUER – Les élèves…</w:t>
            </w: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privilégient le français pour s’exprimer à l’oral et à l’écrit en salle de classe et en mode virtuel.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s’approprient un langage propre aux diverses interfaces technologiques.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créent et communiquent dans un français correct à l’aide des médias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sociaux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et espaces numériques.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utilisent de manière efficace et responsable le plus grand nombre 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technologiques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dans une variété de contextes qui leurs permettent de s’exprimer, de communiquer, de se renseigner et d’échanger en ligne, y compris les blogues et les wikis ainsi que le contenu créé à l’aide d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u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Web 2.0 par les utilisat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rices et utilisateurs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utilisent les outils technologiques dans le but de faciliter leur apprentissage continu, que ce soit en mode présentiel en classe, en dehors de l’école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ou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en ligne.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posent des questions pertinentes et précises en vue d’obtenir les informations désirées.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intègrent dans leur apprentissage les ressources numériques à leur disposition pour montrer qu’ils comprennent la matière et développent leurs compétences.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</w:tbl>
    <w:p w:rsidR="00FC4141" w:rsidRPr="00FC4141" w:rsidRDefault="00FC4141">
      <w:pPr>
        <w:rPr>
          <w:lang w:val="fr-CA"/>
        </w:rPr>
      </w:pPr>
      <w:r w:rsidRPr="00FC4141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lastRenderedPageBreak/>
              <w:t xml:space="preserve">font preuve de discernement dans leur évaluation des médias numériques et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communiquent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des décisions éclairées relativement à leurs actions et à leurs découvertes en ligne.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COLLABORER – Les élèves…</w:t>
            </w: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collaborent dans des travaux d’équipes avec leurs pairs et amis à des projets d’intérêt commun en personne et dans un environnement infonuagique.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s’identifient et s’expriment en tant que partenaires d’apprentissage, par exemple, avec leurs pairs, leur enseignante ou enseignant, leurs parents et avec des membres de la communauté.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occupent différents rôles au sein des équipes en personne et à distance afin d’assurer une part équitable de la charge de travail.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interagissent de manière positive et respectueuse en personne et en mode virtuel.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dirigent des équipes en présentiel et de façon virtuelle.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gèrent des conflits au besoin pendant une activité d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 groupe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en classe ou à distance.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établissent de bonnes relations avec les autres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élèves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de la classe, de l’école, dans la collectivité et sur le Web.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échangent de l’information avec les autres et font connaître leu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rs expertises afin de résoudre d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es problèmes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complexes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, de prendre des décisions et de stimuler l’esprit critique.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s’impliquent dans le but de créer et de produire collectivement.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expriment et échangent des opinions en classe, avec leurs pairs et avec d’autres personnes ailleurs dans le monde.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font connaître leurs besoins, leurs intérêts et leurs aspirations à l’aide de différents supports technologiques.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développent avec les autres une intelligence collective dans le cadre d’une activité en personne ou en mode virtuel.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DÉCOUVRIR, CRÉER ET INNOVER – Les élèves…</w:t>
            </w: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appliquent leurs nouvelles connaissances et prennent des risques dans le but de créer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de développer des habiletés d’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A"/>
              </w:rPr>
              <w:t>entrepreneurship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font preuve d’innovation pour concevoir et appliquer les nouvelles connaissances en vue de solutionner une problématique complexe.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créent et élaborent des idées novatrices, de nouveaux concepts et des contenus différents.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maîtrisent une variété d’outils et des réseaux sociaux en vue de mieux réfléchir, de communiquer avec des destinataires en mode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présentiel et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virtuel,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puis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 produire de façon efficace et efficiente.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communiquent de façon créative et novatrice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à partir d’une variété d’outils de communication numérique de façon innovante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(p. ex. : </w:t>
            </w:r>
            <w:proofErr w:type="spellStart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slam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ignite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ted</w:t>
            </w:r>
            <w:proofErr w:type="spellEnd"/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, etc.).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</w:tbl>
    <w:p w:rsidR="00FC4141" w:rsidRPr="00C35D17" w:rsidRDefault="00FC4141">
      <w:pPr>
        <w:rPr>
          <w:lang w:val="fr-CA"/>
        </w:rPr>
      </w:pPr>
      <w:r w:rsidRPr="00C35D17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567"/>
        <w:gridCol w:w="567"/>
        <w:gridCol w:w="567"/>
      </w:tblGrid>
      <w:tr w:rsidR="002D41CE" w:rsidRPr="00604577" w:rsidTr="002D41CE">
        <w:tc>
          <w:tcPr>
            <w:tcW w:w="9073" w:type="dxa"/>
          </w:tcPr>
          <w:p w:rsidR="002D41CE" w:rsidRPr="007A4986" w:rsidRDefault="002D41CE" w:rsidP="00C35D17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créent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et collaborent à l’aide des médias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numériques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et en utilisant, par exemple, l’image, le son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,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la vidéo, etc.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se servent judicieusement des outils technologiques et des réseaux sociaux en s’ajustant et s’autorégulant selon le contexte afin de contribuer au développement social et à la croissance économique.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manifestent un leadership en action et assurent la compétitivité.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FAIRE PREUVE DE CIVISME – Les élèves…</w:t>
            </w: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s’engagent activement dans le respect des normes liées à la citoyenneté numérique.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adoptent un comportement </w:t>
            </w:r>
            <w:r w:rsidRPr="007A4986"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éthique propre à assurer la protection des renseignements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numériques </w:t>
            </w:r>
            <w:r w:rsidRPr="007A4986"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confidentiels, sa propre sécurité et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>celle</w:t>
            </w:r>
            <w:r w:rsidRPr="007A4986">
              <w:rPr>
                <w:rFonts w:ascii="Times New Roman" w:hAnsi="Times New Roman"/>
                <w:color w:val="auto"/>
                <w:sz w:val="24"/>
                <w:szCs w:val="24"/>
                <w:lang w:val="fr-CA"/>
              </w:rPr>
              <w:t xml:space="preserve"> des autres.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assument leurs responsabilités et prennent conscience de leur empreinte numérique.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acquièrent des connaissances techniques afin d’utiliser aisément les outils technologies et de participer aux divers réseaux retrouvés sur le Web.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comprennent de quelle manière la technologie agit sur le comportement et les perceptions des gens, les croyances et les sentiments ressentis par eux et les autres.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utilisent de manière efficace et responsable, dans des dialogues ouverts, le contenu généré par les utilisat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rices et les utilisateurs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le Web y compris les blogues et les forums de discussion, le partage de photos et vidéos, les jeux et médias sociaux, etc.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respectent les engagements pris en personne et à distance avec leurs partenaires d’apprentissage.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ont une bonne compréhension de la diversité culturelle et sociétale dans un contexte local, national et mondial.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sont capables de comprendre les enjeux mondiaux.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se montrent sensibles envers les autres cultures et les respectent.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participent activement à résoudre des problèmes pour assurer la durabilité de l’humain et de son milieu naturel.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interagissent en fra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nçais et contribuent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à la culture franco-ontarienne sur le Web.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comprennent les systèmes politiques, sociaux, économiques et financiers du Canada dans un contexte mondial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agissent selon leurs valeurs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10774" w:type="dxa"/>
            <w:gridSpan w:val="4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DÉVELOPPER SON CARACTÈRE : PLAISIR D’APPRENDRE</w:t>
            </w:r>
          </w:p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ET DÉVELOPPEMENT DE L’INTELLIGENCE ÉMOTIONNELLE – Les élèves…</w:t>
            </w: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se sentent respectés et en confiance et sentent que leurs opinions sont valorisées.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accomplissent des activités authentiques à partir d’enjeux complexes.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choisissent leurs activités à réaliser et leurs outils technologiques à utiliser.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participent à l’organisation de la salle de classe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pour développer un sens d’appartenance.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font preuve de sensibilité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de respect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d’empathie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à l’égard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de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 autres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pour développer leur intelligence sociale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FC4141" w:rsidRPr="00C35D17" w:rsidRDefault="00FC4141">
      <w:pPr>
        <w:rPr>
          <w:lang w:val="fr-CA"/>
        </w:rPr>
      </w:pPr>
      <w:r w:rsidRPr="00C35D17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26"/>
        <w:gridCol w:w="504"/>
        <w:gridCol w:w="37"/>
        <w:gridCol w:w="567"/>
        <w:gridCol w:w="13"/>
        <w:gridCol w:w="554"/>
      </w:tblGrid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développent leur intelligence émotionnelle en étant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capable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 nommer, reconnaître et contrôler leurs émotions ressenties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afin de poursuivre leurs activités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connaissent leurs limites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et gèrent leurs émotions afin d’encourager l’appropriation de leurs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apprentissages et ce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ux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des autres.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suivent leurs intérêts et leurs passions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en utilisant une variété riche d’outils technologiques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réalisent leurs activités à partir d’une motivation intrinsèque.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manifestent une curiosité à découvrir de nouvelles informations par eux-mêmes.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ressentent un sens d’accomplissement lorsqu’ils terminent une activité.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parlent de leurs découvertes.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9073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sont enthousiastes par rapport à leur apprentissage à l’école; les notes ne sont pas leur première ni leur seule motivation.</w:t>
            </w:r>
          </w:p>
        </w:tc>
        <w:tc>
          <w:tcPr>
            <w:tcW w:w="56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gridSpan w:val="2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10774" w:type="dxa"/>
            <w:gridSpan w:val="7"/>
            <w:shd w:val="clear" w:color="auto" w:fill="D9D9D9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DÉVELOPPER SON CARACTÈRE : AUTONOMIE – Les élèves…</w:t>
            </w: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contribuent activement à la conception des activités d’apprentissage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et à la prise de décisions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concernant les méthodes et les résultats d’apprentissage.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utilisent des 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informatisés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de gestion du temps afin d’harmoniser leurs activités d’apprentissage à celles des autres.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apprennent à apprendre, c’est-à-dire qu’ils connaissent le processus, la démarche à suivre ou les étapes à prendre pour s’approprier un savoir.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appliquent des stratégies efficaces d’organisation afin de mener à terme les engagements entrepris et d’assurer les suivis nécessaires en utilisant les outils technologiques les plus appropriés.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participent activement à l’attestation de leurs acquis et s’appuient sur celle-ci pour orienter et approfondir leur travail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,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améliorer leur rendement.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prennent leur santé physique et mentale en main en vue d’être des citoyen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ne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citoyens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productifs et présents.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déterminent, de façon autonome, les priorités afin d’atteindre les objectifs visés en utilisant des outils technologiques.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gèrent leur vie et s’organisent de façon autonome en se fixant des objectifs à court terme au besoin pour faciliter l’apprentissage.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démontrent une appropriation du savoir de façon autonome en utilisant une variété 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technologiques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et en naviguant sur le Web de façon responsable (p. ex.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 :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suivre un cours en ligne, participer à un webinaire et suivre une conférence virtuelle, etc.).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dirigent leurs acquisitions des connaissances à partir d’objectifs d’apprentissage et de suivis des progrès réalisés.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C35D17">
        <w:tc>
          <w:tcPr>
            <w:tcW w:w="9099" w:type="dxa"/>
            <w:gridSpan w:val="2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utilisent le processus d’enquête pour trouver une réponse dans divers contextes à partir d’une variété de sources d’information.</w:t>
            </w:r>
          </w:p>
        </w:tc>
        <w:tc>
          <w:tcPr>
            <w:tcW w:w="50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617" w:type="dxa"/>
            <w:gridSpan w:val="3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554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FC4141" w:rsidRPr="00C35D17" w:rsidRDefault="00FC4141">
      <w:pPr>
        <w:rPr>
          <w:lang w:val="fr-CA"/>
        </w:rPr>
      </w:pPr>
      <w:r w:rsidRPr="00C35D17">
        <w:rPr>
          <w:lang w:val="fr-CA"/>
        </w:rPr>
        <w:br w:type="page"/>
      </w:r>
    </w:p>
    <w:tbl>
      <w:tblPr>
        <w:tblW w:w="10774" w:type="dxa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709"/>
        <w:gridCol w:w="709"/>
        <w:gridCol w:w="850"/>
      </w:tblGrid>
      <w:tr w:rsidR="002D41CE" w:rsidRPr="00604577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découvrent par eux-mêmes tout en s’adaptant au changement et ou ayant une ouverture d’esprit.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8506" w:type="dxa"/>
          </w:tcPr>
          <w:p w:rsidR="002D41CE" w:rsidRPr="00C35D17" w:rsidRDefault="002D41CE" w:rsidP="00BD36E1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avancent à leur propre rythme et demandent de l’aide au </w:t>
            </w:r>
            <w:r w:rsidR="00C35D17">
              <w:rPr>
                <w:rFonts w:ascii="Times New Roman" w:hAnsi="Times New Roman"/>
                <w:sz w:val="24"/>
                <w:szCs w:val="24"/>
                <w:lang w:val="fr-CA"/>
              </w:rPr>
              <w:t>besoin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604577" w:rsidTr="002D41CE">
        <w:tc>
          <w:tcPr>
            <w:tcW w:w="8506" w:type="dxa"/>
          </w:tcPr>
          <w:p w:rsidR="002D41CE" w:rsidRPr="007A4986" w:rsidRDefault="002D41CE" w:rsidP="002D41CE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s’autorégulent pendant et après la réalisation des activités à l’aide d’outils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et de logiciels 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technologiques afin d’améliorer leur savoir-faire et de s’ajuster pour la prochaine 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activité</w:t>
            </w:r>
            <w:r w:rsidRPr="007A4986"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2D41CE" w:rsidRPr="007A4986" w:rsidRDefault="002D41CE" w:rsidP="00BD36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2D41CE" w:rsidRPr="007A4986" w:rsidTr="002D41CE">
        <w:tc>
          <w:tcPr>
            <w:tcW w:w="8506" w:type="dxa"/>
          </w:tcPr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Total</w:t>
            </w:r>
          </w:p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2D41CE" w:rsidRDefault="002D41CE" w:rsidP="00BD36E1">
            <w:pPr>
              <w:tabs>
                <w:tab w:val="right" w:pos="493"/>
              </w:tabs>
              <w:spacing w:line="276" w:lineRule="auto"/>
              <w:rPr>
                <w:rFonts w:ascii="Times New Roman" w:hAnsi="Times New Roman"/>
                <w:b/>
                <w:lang w:val="fr-CA"/>
              </w:rPr>
            </w:pPr>
          </w:p>
          <w:p w:rsidR="002D41CE" w:rsidRPr="009C5EFB" w:rsidRDefault="002D41CE" w:rsidP="00BD36E1">
            <w:pPr>
              <w:tabs>
                <w:tab w:val="right" w:pos="493"/>
              </w:tabs>
              <w:spacing w:line="276" w:lineRule="auto"/>
              <w:rPr>
                <w:rFonts w:ascii="Times New Roman" w:hAnsi="Times New Roman"/>
                <w:b/>
                <w:lang w:val="fr-CA"/>
              </w:rPr>
            </w:pPr>
            <w:r w:rsidRPr="009C5EFB">
              <w:rPr>
                <w:rFonts w:ascii="Times New Roman" w:hAnsi="Times New Roman"/>
                <w:b/>
                <w:lang w:val="fr-CA"/>
              </w:rPr>
              <w:tab/>
              <w:t>/77</w:t>
            </w:r>
          </w:p>
        </w:tc>
        <w:tc>
          <w:tcPr>
            <w:tcW w:w="709" w:type="dxa"/>
          </w:tcPr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</w:p>
          <w:p w:rsidR="002D41CE" w:rsidRPr="009C5EFB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  <w:r w:rsidRPr="009C5EFB">
              <w:rPr>
                <w:rFonts w:ascii="Times New Roman" w:hAnsi="Times New Roman"/>
                <w:b/>
                <w:lang w:val="fr-CA"/>
              </w:rPr>
              <w:t>/1</w:t>
            </w:r>
            <w:r>
              <w:rPr>
                <w:rFonts w:ascii="Times New Roman" w:hAnsi="Times New Roman"/>
                <w:b/>
                <w:lang w:val="fr-CA"/>
              </w:rPr>
              <w:t>57</w:t>
            </w:r>
          </w:p>
        </w:tc>
        <w:tc>
          <w:tcPr>
            <w:tcW w:w="850" w:type="dxa"/>
          </w:tcPr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</w:p>
          <w:p w:rsidR="002D41CE" w:rsidRPr="009C5EFB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lang w:val="fr-CA"/>
              </w:rPr>
            </w:pPr>
            <w:r w:rsidRPr="009C5EFB">
              <w:rPr>
                <w:rFonts w:ascii="Times New Roman" w:hAnsi="Times New Roman"/>
                <w:b/>
                <w:lang w:val="fr-CA"/>
              </w:rPr>
              <w:t>/2</w:t>
            </w:r>
            <w:r>
              <w:rPr>
                <w:rFonts w:ascii="Times New Roman" w:hAnsi="Times New Roman"/>
                <w:b/>
                <w:lang w:val="fr-CA"/>
              </w:rPr>
              <w:t>37</w:t>
            </w:r>
          </w:p>
        </w:tc>
      </w:tr>
      <w:tr w:rsidR="002D41CE" w:rsidRPr="007A4986" w:rsidTr="002D41CE">
        <w:tc>
          <w:tcPr>
            <w:tcW w:w="8506" w:type="dxa"/>
          </w:tcPr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</w:p>
          <w:p w:rsidR="002D41CE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>Pointage total obtenu</w:t>
            </w:r>
          </w:p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>portant sur le niveau d’application des compétences au 21</w:t>
            </w: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vertAlign w:val="superscript"/>
                <w:lang w:val="fr-CA"/>
              </w:rPr>
              <w:t>e</w:t>
            </w: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 xml:space="preserve"> siècle</w:t>
            </w:r>
          </w:p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  <w:t>selon la recension des écrits et des entretiens virtuels réalisés</w:t>
            </w:r>
          </w:p>
          <w:p w:rsidR="002D41CE" w:rsidRPr="007A4986" w:rsidRDefault="002D41CE" w:rsidP="00BD36E1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gridSpan w:val="3"/>
          </w:tcPr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:rsidR="002D41CE" w:rsidRPr="007A4986" w:rsidRDefault="002D41CE" w:rsidP="00BD36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7A498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      /2</w:t>
            </w:r>
            <w:r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37</w:t>
            </w:r>
          </w:p>
        </w:tc>
      </w:tr>
    </w:tbl>
    <w:p w:rsidR="002D41CE" w:rsidRPr="007A4986" w:rsidRDefault="002D41CE" w:rsidP="002D41CE">
      <w:pPr>
        <w:spacing w:line="276" w:lineRule="auto"/>
        <w:jc w:val="right"/>
        <w:rPr>
          <w:rFonts w:ascii="Times New Roman" w:hAnsi="Times New Roman"/>
          <w:sz w:val="24"/>
          <w:szCs w:val="24"/>
          <w:lang w:val="fr-CA"/>
        </w:rPr>
      </w:pPr>
    </w:p>
    <w:p w:rsidR="002D41CE" w:rsidRPr="00580756" w:rsidRDefault="002D41CE" w:rsidP="002D41CE">
      <w:pPr>
        <w:spacing w:line="276" w:lineRule="auto"/>
        <w:jc w:val="right"/>
        <w:rPr>
          <w:rFonts w:ascii="Times New Roman" w:hAnsi="Times New Roman"/>
          <w:sz w:val="18"/>
          <w:szCs w:val="18"/>
          <w:lang w:val="fr-CA"/>
        </w:rPr>
      </w:pPr>
      <w:r w:rsidRPr="00580756">
        <w:rPr>
          <w:rFonts w:ascii="Times New Roman" w:hAnsi="Times New Roman"/>
          <w:sz w:val="18"/>
          <w:szCs w:val="18"/>
          <w:lang w:val="fr-CA"/>
        </w:rPr>
        <w:t xml:space="preserve"> (Ce tableau est inspiré des compétences les plus récurrentes retrouvées dans la recension des écrits</w:t>
      </w:r>
    </w:p>
    <w:p w:rsidR="002D41CE" w:rsidRPr="00580756" w:rsidRDefault="002D41CE" w:rsidP="002D41CE">
      <w:pPr>
        <w:spacing w:line="276" w:lineRule="auto"/>
        <w:jc w:val="right"/>
        <w:rPr>
          <w:rFonts w:ascii="Times New Roman" w:hAnsi="Times New Roman"/>
          <w:sz w:val="18"/>
          <w:szCs w:val="18"/>
          <w:lang w:val="fr-CA"/>
        </w:rPr>
      </w:pPr>
      <w:proofErr w:type="gramStart"/>
      <w:r w:rsidRPr="00580756">
        <w:rPr>
          <w:rFonts w:ascii="Times New Roman" w:hAnsi="Times New Roman"/>
          <w:sz w:val="18"/>
          <w:szCs w:val="18"/>
          <w:lang w:val="fr-CA"/>
        </w:rPr>
        <w:t>et</w:t>
      </w:r>
      <w:proofErr w:type="gramEnd"/>
      <w:r w:rsidRPr="00580756">
        <w:rPr>
          <w:rFonts w:ascii="Times New Roman" w:hAnsi="Times New Roman"/>
          <w:sz w:val="18"/>
          <w:szCs w:val="18"/>
          <w:lang w:val="fr-CA"/>
        </w:rPr>
        <w:t xml:space="preserve"> du tableau </w:t>
      </w:r>
      <w:r w:rsidRPr="00580756">
        <w:rPr>
          <w:rFonts w:ascii="Times New Roman" w:hAnsi="Times New Roman"/>
          <w:i/>
          <w:sz w:val="18"/>
          <w:szCs w:val="18"/>
          <w:lang w:val="fr-CA"/>
        </w:rPr>
        <w:t>Les habiletés d’apprentissage et les habitudes de travail de la 1</w:t>
      </w:r>
      <w:r w:rsidRPr="00580756">
        <w:rPr>
          <w:rFonts w:ascii="Times New Roman" w:hAnsi="Times New Roman"/>
          <w:i/>
          <w:sz w:val="18"/>
          <w:szCs w:val="18"/>
          <w:vertAlign w:val="superscript"/>
          <w:lang w:val="fr-CA"/>
        </w:rPr>
        <w:t>re</w:t>
      </w:r>
      <w:r w:rsidRPr="00580756">
        <w:rPr>
          <w:rFonts w:ascii="Times New Roman" w:hAnsi="Times New Roman"/>
          <w:i/>
          <w:sz w:val="18"/>
          <w:szCs w:val="18"/>
          <w:lang w:val="fr-CA"/>
        </w:rPr>
        <w:t xml:space="preserve"> à la 12</w:t>
      </w:r>
      <w:r w:rsidRPr="00580756">
        <w:rPr>
          <w:rFonts w:ascii="Times New Roman" w:hAnsi="Times New Roman"/>
          <w:i/>
          <w:sz w:val="18"/>
          <w:szCs w:val="18"/>
          <w:vertAlign w:val="superscript"/>
          <w:lang w:val="fr-CA"/>
        </w:rPr>
        <w:t>e</w:t>
      </w:r>
      <w:r w:rsidRPr="00580756">
        <w:rPr>
          <w:rFonts w:ascii="Times New Roman" w:hAnsi="Times New Roman"/>
          <w:i/>
          <w:sz w:val="18"/>
          <w:szCs w:val="18"/>
          <w:lang w:val="fr-CA"/>
        </w:rPr>
        <w:t xml:space="preserve"> année</w:t>
      </w:r>
      <w:r w:rsidRPr="00580756">
        <w:rPr>
          <w:rFonts w:ascii="Times New Roman" w:hAnsi="Times New Roman"/>
          <w:sz w:val="18"/>
          <w:szCs w:val="18"/>
          <w:lang w:val="fr-CA"/>
        </w:rPr>
        <w:t>,</w:t>
      </w:r>
    </w:p>
    <w:p w:rsidR="002D41CE" w:rsidRPr="007A4986" w:rsidRDefault="002D41CE" w:rsidP="002D41CE">
      <w:pPr>
        <w:spacing w:line="276" w:lineRule="auto"/>
        <w:jc w:val="right"/>
        <w:rPr>
          <w:rFonts w:ascii="Times New Roman" w:hAnsi="Times New Roman"/>
          <w:sz w:val="24"/>
          <w:szCs w:val="24"/>
          <w:lang w:val="fr-CA"/>
        </w:rPr>
      </w:pPr>
      <w:r w:rsidRPr="00580756">
        <w:rPr>
          <w:rFonts w:ascii="Times New Roman" w:hAnsi="Times New Roman"/>
          <w:sz w:val="18"/>
          <w:szCs w:val="18"/>
          <w:lang w:val="fr-CA"/>
        </w:rPr>
        <w:t>Faire croître le succès, 2010, p. 17)</w:t>
      </w:r>
      <w:r w:rsidRPr="00580756">
        <w:rPr>
          <w:rStyle w:val="Appelnotedebasdep"/>
          <w:rFonts w:ascii="Times New Roman" w:hAnsi="Times New Roman"/>
          <w:sz w:val="18"/>
          <w:szCs w:val="18"/>
          <w:lang w:val="fr-CA"/>
        </w:rPr>
        <w:footnoteReference w:id="1"/>
      </w:r>
      <w:bookmarkStart w:id="0" w:name="_GoBack"/>
      <w:bookmarkEnd w:id="0"/>
      <w:r w:rsidRPr="007A4986">
        <w:rPr>
          <w:rStyle w:val="Marquedecommentaire"/>
          <w:rFonts w:ascii="Times New Roman" w:eastAsia="Times New Roman" w:hAnsi="Times New Roman"/>
          <w:vanish/>
          <w:color w:val="auto"/>
          <w:sz w:val="24"/>
          <w:szCs w:val="24"/>
          <w:lang w:val="fr-CA" w:eastAsia="en-US"/>
        </w:rPr>
        <w:t xml:space="preserve"> </w:t>
      </w:r>
    </w:p>
    <w:p w:rsidR="002D41CE" w:rsidRDefault="002D41CE" w:rsidP="002D41CE">
      <w:pPr>
        <w:pStyle w:val="Titre1"/>
        <w:spacing w:line="276" w:lineRule="auto"/>
        <w:rPr>
          <w:rFonts w:ascii="Times New Roman" w:hAnsi="Times New Roman"/>
          <w:sz w:val="24"/>
          <w:szCs w:val="24"/>
        </w:rPr>
      </w:pPr>
    </w:p>
    <w:p w:rsidR="009B04C7" w:rsidRPr="002D41CE" w:rsidRDefault="007B7326">
      <w:pPr>
        <w:rPr>
          <w:lang w:val="fr-CA"/>
        </w:rPr>
      </w:pPr>
    </w:p>
    <w:sectPr w:rsidR="009B04C7" w:rsidRPr="002D41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26" w:rsidRDefault="007B7326" w:rsidP="002D41CE">
      <w:r>
        <w:separator/>
      </w:r>
    </w:p>
  </w:endnote>
  <w:endnote w:type="continuationSeparator" w:id="0">
    <w:p w:rsidR="007B7326" w:rsidRDefault="007B7326" w:rsidP="002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26" w:rsidRDefault="007B7326" w:rsidP="002D41CE">
      <w:r>
        <w:separator/>
      </w:r>
    </w:p>
  </w:footnote>
  <w:footnote w:type="continuationSeparator" w:id="0">
    <w:p w:rsidR="007B7326" w:rsidRDefault="007B7326" w:rsidP="002D41CE">
      <w:r>
        <w:continuationSeparator/>
      </w:r>
    </w:p>
  </w:footnote>
  <w:footnote w:id="1">
    <w:p w:rsidR="002D41CE" w:rsidRPr="00FC517F" w:rsidRDefault="002D41CE" w:rsidP="002D41CE">
      <w:pPr>
        <w:pStyle w:val="Notedebasdepage"/>
        <w:rPr>
          <w:rFonts w:ascii="Times New Roman" w:hAnsi="Times New Roman"/>
          <w:sz w:val="18"/>
          <w:szCs w:val="18"/>
        </w:rPr>
      </w:pPr>
      <w:r w:rsidRPr="00FC517F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FC517F">
        <w:rPr>
          <w:rFonts w:ascii="Times New Roman" w:hAnsi="Times New Roman"/>
          <w:sz w:val="18"/>
          <w:szCs w:val="18"/>
        </w:rPr>
        <w:t xml:space="preserve"> </w:t>
      </w:r>
      <w:r w:rsidRPr="00FC517F">
        <w:rPr>
          <w:rFonts w:ascii="Times New Roman" w:hAnsi="Times New Roman"/>
          <w:sz w:val="18"/>
          <w:szCs w:val="18"/>
          <w:lang w:val="fr-CA"/>
        </w:rPr>
        <w:t xml:space="preserve">Ministère de l’éducation de l’Ontario. (2010). </w:t>
      </w:r>
      <w:r w:rsidRPr="00FC517F">
        <w:rPr>
          <w:rFonts w:ascii="Times New Roman" w:hAnsi="Times New Roman"/>
          <w:i/>
          <w:sz w:val="18"/>
          <w:szCs w:val="18"/>
          <w:lang w:val="fr-CA"/>
        </w:rPr>
        <w:t>Faire croître le succès. Évaluation et communication du rendement des élèves fréquentant les écoles de l’Ontario</w:t>
      </w:r>
      <w:r w:rsidRPr="00FC517F">
        <w:rPr>
          <w:rFonts w:ascii="Times New Roman" w:hAnsi="Times New Roman"/>
          <w:sz w:val="18"/>
          <w:szCs w:val="18"/>
          <w:lang w:val="fr-CA"/>
        </w:rPr>
        <w:t>. Première édition, 1</w:t>
      </w:r>
      <w:r w:rsidRPr="00FC517F">
        <w:rPr>
          <w:rFonts w:ascii="Times New Roman" w:hAnsi="Times New Roman"/>
          <w:sz w:val="18"/>
          <w:szCs w:val="18"/>
          <w:vertAlign w:val="superscript"/>
          <w:lang w:val="fr-CA"/>
        </w:rPr>
        <w:t>re</w:t>
      </w:r>
      <w:r w:rsidRPr="00FC517F">
        <w:rPr>
          <w:rFonts w:ascii="Times New Roman" w:hAnsi="Times New Roman"/>
          <w:sz w:val="18"/>
          <w:szCs w:val="18"/>
          <w:lang w:val="fr-CA"/>
        </w:rPr>
        <w:t xml:space="preserve"> – 12</w:t>
      </w:r>
      <w:r w:rsidRPr="00FC517F">
        <w:rPr>
          <w:rFonts w:ascii="Times New Roman" w:hAnsi="Times New Roman"/>
          <w:sz w:val="18"/>
          <w:szCs w:val="18"/>
          <w:vertAlign w:val="superscript"/>
          <w:lang w:val="fr-CA"/>
        </w:rPr>
        <w:t>e</w:t>
      </w:r>
      <w:r w:rsidRPr="00FC517F">
        <w:rPr>
          <w:rFonts w:ascii="Times New Roman" w:hAnsi="Times New Roman"/>
          <w:sz w:val="18"/>
          <w:szCs w:val="18"/>
          <w:lang w:val="fr-CA"/>
        </w:rPr>
        <w:t xml:space="preserve"> année. Récupéré à l’adresse </w:t>
      </w:r>
      <w:hyperlink r:id="rId1" w:history="1">
        <w:r w:rsidRPr="00FC517F">
          <w:rPr>
            <w:rStyle w:val="Lienhypertexte"/>
            <w:rFonts w:ascii="Times New Roman" w:hAnsi="Times New Roman"/>
            <w:sz w:val="18"/>
            <w:szCs w:val="18"/>
            <w:lang w:val="fr-CA"/>
          </w:rPr>
          <w:t>http://www.edu.gov.on.ca/fre/policyfunding/growSuccessfr.pdf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996"/>
    <w:multiLevelType w:val="hybridMultilevel"/>
    <w:tmpl w:val="2BF48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E"/>
    <w:rsid w:val="00006F9A"/>
    <w:rsid w:val="000B23B2"/>
    <w:rsid w:val="00123B2D"/>
    <w:rsid w:val="002C1FAB"/>
    <w:rsid w:val="002D41CE"/>
    <w:rsid w:val="00604577"/>
    <w:rsid w:val="007B7326"/>
    <w:rsid w:val="00A31C94"/>
    <w:rsid w:val="00AB5A0D"/>
    <w:rsid w:val="00C35D17"/>
    <w:rsid w:val="00DA16B1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E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2D41CE"/>
    <w:pPr>
      <w:outlineLvl w:val="0"/>
    </w:pPr>
    <w:rPr>
      <w:rFonts w:ascii="Bookman Old Style" w:hAnsi="Bookman Old Style"/>
      <w:color w:val="984806"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1CE"/>
    <w:rPr>
      <w:rFonts w:ascii="Bookman Old Style" w:eastAsia="Gill Sans MT" w:hAnsi="Bookman Old Style" w:cs="Times New Roman"/>
      <w:color w:val="984806"/>
      <w:sz w:val="40"/>
      <w:szCs w:val="40"/>
      <w:lang w:eastAsia="ja-JP"/>
    </w:rPr>
  </w:style>
  <w:style w:type="paragraph" w:customStyle="1" w:styleId="Listecouleur-Accent11">
    <w:name w:val="Liste couleur - Accent 11"/>
    <w:basedOn w:val="Normal"/>
    <w:link w:val="Listecouleur-Accent11Char"/>
    <w:uiPriority w:val="34"/>
    <w:qFormat/>
    <w:rsid w:val="002D41CE"/>
    <w:pPr>
      <w:ind w:left="720"/>
      <w:contextualSpacing/>
    </w:pPr>
  </w:style>
  <w:style w:type="character" w:styleId="Lienhypertexte">
    <w:name w:val="Hyperlink"/>
    <w:uiPriority w:val="99"/>
    <w:unhideWhenUsed/>
    <w:rsid w:val="002D41C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D41CE"/>
    <w:rPr>
      <w:sz w:val="24"/>
      <w:szCs w:val="24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41CE"/>
    <w:rPr>
      <w:rFonts w:ascii="Gill Sans MT" w:eastAsia="Gill Sans MT" w:hAnsi="Gill Sans MT" w:cs="Times New Roman"/>
      <w:color w:val="000000"/>
      <w:sz w:val="24"/>
      <w:szCs w:val="24"/>
      <w:lang w:val="x-none" w:eastAsia="ja-JP"/>
    </w:rPr>
  </w:style>
  <w:style w:type="character" w:styleId="Appelnotedebasdep">
    <w:name w:val="footnote reference"/>
    <w:uiPriority w:val="99"/>
    <w:semiHidden/>
    <w:unhideWhenUsed/>
    <w:rsid w:val="002D41CE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2D41CE"/>
    <w:rPr>
      <w:rFonts w:ascii="Cambria" w:eastAsia="Times New Roman" w:hAnsi="Cambria"/>
      <w:color w:val="auto"/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2D41C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Marquedecommentaire">
    <w:name w:val="annotation reference"/>
    <w:uiPriority w:val="99"/>
    <w:unhideWhenUsed/>
    <w:rsid w:val="002D41CE"/>
    <w:rPr>
      <w:sz w:val="18"/>
      <w:szCs w:val="18"/>
    </w:rPr>
  </w:style>
  <w:style w:type="character" w:customStyle="1" w:styleId="Listecouleur-Accent11Char">
    <w:name w:val="Liste couleur - Accent 11 Char"/>
    <w:link w:val="Listecouleur-Accent11"/>
    <w:uiPriority w:val="34"/>
    <w:rsid w:val="002D41CE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E"/>
    <w:rPr>
      <w:rFonts w:ascii="Tahoma" w:eastAsia="Gill Sans MT" w:hAnsi="Tahoma" w:cs="Tahoma"/>
      <w:color w:val="000000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CE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2D41CE"/>
    <w:pPr>
      <w:outlineLvl w:val="0"/>
    </w:pPr>
    <w:rPr>
      <w:rFonts w:ascii="Bookman Old Style" w:hAnsi="Bookman Old Style"/>
      <w:color w:val="984806"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1CE"/>
    <w:rPr>
      <w:rFonts w:ascii="Bookman Old Style" w:eastAsia="Gill Sans MT" w:hAnsi="Bookman Old Style" w:cs="Times New Roman"/>
      <w:color w:val="984806"/>
      <w:sz w:val="40"/>
      <w:szCs w:val="40"/>
      <w:lang w:eastAsia="ja-JP"/>
    </w:rPr>
  </w:style>
  <w:style w:type="paragraph" w:customStyle="1" w:styleId="Listecouleur-Accent11">
    <w:name w:val="Liste couleur - Accent 11"/>
    <w:basedOn w:val="Normal"/>
    <w:link w:val="Listecouleur-Accent11Char"/>
    <w:uiPriority w:val="34"/>
    <w:qFormat/>
    <w:rsid w:val="002D41CE"/>
    <w:pPr>
      <w:ind w:left="720"/>
      <w:contextualSpacing/>
    </w:pPr>
  </w:style>
  <w:style w:type="character" w:styleId="Lienhypertexte">
    <w:name w:val="Hyperlink"/>
    <w:uiPriority w:val="99"/>
    <w:unhideWhenUsed/>
    <w:rsid w:val="002D41C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D41CE"/>
    <w:rPr>
      <w:sz w:val="24"/>
      <w:szCs w:val="24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41CE"/>
    <w:rPr>
      <w:rFonts w:ascii="Gill Sans MT" w:eastAsia="Gill Sans MT" w:hAnsi="Gill Sans MT" w:cs="Times New Roman"/>
      <w:color w:val="000000"/>
      <w:sz w:val="24"/>
      <w:szCs w:val="24"/>
      <w:lang w:val="x-none" w:eastAsia="ja-JP"/>
    </w:rPr>
  </w:style>
  <w:style w:type="character" w:styleId="Appelnotedebasdep">
    <w:name w:val="footnote reference"/>
    <w:uiPriority w:val="99"/>
    <w:semiHidden/>
    <w:unhideWhenUsed/>
    <w:rsid w:val="002D41CE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unhideWhenUsed/>
    <w:rsid w:val="002D41CE"/>
    <w:rPr>
      <w:rFonts w:ascii="Cambria" w:eastAsia="Times New Roman" w:hAnsi="Cambria"/>
      <w:color w:val="auto"/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2D41C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Marquedecommentaire">
    <w:name w:val="annotation reference"/>
    <w:uiPriority w:val="99"/>
    <w:unhideWhenUsed/>
    <w:rsid w:val="002D41CE"/>
    <w:rPr>
      <w:sz w:val="18"/>
      <w:szCs w:val="18"/>
    </w:rPr>
  </w:style>
  <w:style w:type="character" w:customStyle="1" w:styleId="Listecouleur-Accent11Char">
    <w:name w:val="Liste couleur - Accent 11 Char"/>
    <w:link w:val="Listecouleur-Accent11"/>
    <w:uiPriority w:val="34"/>
    <w:rsid w:val="002D41CE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E"/>
    <w:rPr>
      <w:rFonts w:ascii="Tahoma" w:eastAsia="Gill Sans MT" w:hAnsi="Tahoma" w:cs="Tahoma"/>
      <w:color w:val="000000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gov.on.ca/fre/policyfunding/growSuccess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1682</Words>
  <Characters>9251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Tessier</dc:creator>
  <cp:lastModifiedBy>François Tessier</cp:lastModifiedBy>
  <cp:revision>3</cp:revision>
  <dcterms:created xsi:type="dcterms:W3CDTF">2014-04-30T20:17:00Z</dcterms:created>
  <dcterms:modified xsi:type="dcterms:W3CDTF">2014-05-21T17:27:00Z</dcterms:modified>
</cp:coreProperties>
</file>